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9213" w14:textId="77777777" w:rsidR="009235AD" w:rsidRDefault="516C1E25" w:rsidP="516C1E25">
      <w:pPr>
        <w:spacing w:after="200"/>
        <w:rPr>
          <w:rFonts w:ascii="Aptos Display" w:eastAsia="Aptos Display" w:hAnsi="Aptos Display" w:cs="Aptos Display"/>
          <w:b/>
          <w:bCs/>
          <w:color w:val="1A1A1A"/>
          <w:sz w:val="56"/>
          <w:szCs w:val="56"/>
        </w:rPr>
      </w:pPr>
      <w:r w:rsidRPr="516C1E25">
        <w:rPr>
          <w:rFonts w:ascii="Aptos Display" w:eastAsia="Aptos Display" w:hAnsi="Aptos Display" w:cs="Aptos Display"/>
          <w:b/>
          <w:bCs/>
          <w:color w:val="1A1A1A"/>
          <w:sz w:val="56"/>
          <w:szCs w:val="56"/>
        </w:rPr>
        <w:t>Big Wins for Early Childhood</w:t>
      </w:r>
    </w:p>
    <w:p w14:paraId="63ABA4B7" w14:textId="77777777" w:rsidR="009235AD" w:rsidRDefault="516C1E25" w:rsidP="516C1E25">
      <w:pPr>
        <w:spacing w:after="160"/>
        <w:rPr>
          <w:rFonts w:ascii="Aptos Display" w:eastAsia="Aptos Display" w:hAnsi="Aptos Display" w:cs="Aptos Display"/>
          <w:color w:val="444444"/>
          <w:sz w:val="28"/>
          <w:szCs w:val="28"/>
        </w:rPr>
      </w:pPr>
      <w:r w:rsidRPr="516C1E25">
        <w:rPr>
          <w:rFonts w:ascii="Aptos Display" w:eastAsia="Aptos Display" w:hAnsi="Aptos Display" w:cs="Aptos Display"/>
          <w:color w:val="444444"/>
          <w:sz w:val="28"/>
          <w:szCs w:val="28"/>
        </w:rPr>
        <w:t>An Investment Guide for Ministers of Finance and Planning</w:t>
      </w:r>
    </w:p>
    <w:p w14:paraId="0A3D4DFD" w14:textId="77777777" w:rsidR="009235AD" w:rsidRDefault="516C1E25" w:rsidP="516C1E25">
      <w:pPr>
        <w:spacing w:after="80"/>
        <w:rPr>
          <w:rFonts w:ascii="Aptos Display" w:eastAsia="Aptos Display" w:hAnsi="Aptos Display" w:cs="Aptos Display"/>
          <w:i/>
          <w:iCs/>
          <w:color w:val="444444"/>
        </w:rPr>
      </w:pPr>
      <w:r w:rsidRPr="516C1E25">
        <w:rPr>
          <w:rFonts w:ascii="Aptos Display" w:eastAsia="Aptos Display" w:hAnsi="Aptos Display" w:cs="Aptos Display"/>
          <w:i/>
          <w:iCs/>
          <w:color w:val="444444"/>
        </w:rPr>
        <w:t>An Act for Early Years Report</w:t>
      </w:r>
    </w:p>
    <w:p w14:paraId="0062F3DD" w14:textId="77777777" w:rsidR="009235AD" w:rsidRDefault="516C1E25" w:rsidP="516C1E25">
      <w:pPr>
        <w:spacing w:after="400"/>
        <w:rPr>
          <w:rFonts w:ascii="Aptos Display" w:eastAsia="Aptos Display" w:hAnsi="Aptos Display" w:cs="Aptos Display"/>
          <w:color w:val="444444"/>
          <w:lang w:val="en-US"/>
        </w:rPr>
      </w:pPr>
      <w:r w:rsidRPr="516C1E25">
        <w:rPr>
          <w:rFonts w:ascii="Aptos Display" w:eastAsia="Aptos Display" w:hAnsi="Aptos Display" w:cs="Aptos Display"/>
          <w:color w:val="444444"/>
          <w:lang w:val="en-US"/>
        </w:rPr>
        <w:t>Theirworld, April 2026</w:t>
      </w:r>
    </w:p>
    <w:p w14:paraId="672A6659"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51A9F672"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About this guide</w:t>
      </w:r>
    </w:p>
    <w:p w14:paraId="770ACC10"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Big Wins in this guide are drawn from research led by Professor Florencia Lopez Boo, Director of NYU Global TIES for Children, in collaboration with Professor Jere R. Behrman of the University of Pennsylvania, Claudia Vazquez of the Inter-American Development Bank, and economist Gabriel Laffitte. The analysis builds on and expands the cost-of-inaction methodology developed across the landmark Lancet series on early childhood development and nurturing care, updating estimates using the latest available data and extending the scope to cover a wider range of countries and interventions.</w:t>
      </w:r>
    </w:p>
    <w:p w14:paraId="70AD60C2"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Chaired by Dr Elizabeth King, this work has been supported by the Big Wins Expert Advisory Group, with feedback and guidance provided by the World Bank, UNICEF, the Centre for Global Development, the Brookings Institution, the Foreign Commonwealth and Development Office, the Global Education Evidence Advisory Panel, Dr Harold Alderman, Dr Joan Lombardi, and Professor Hiro Yoshikawa of NYU Steinhardt. Supplementary research analysing the short-term benefits of investments in universal support for families was led by Dr Dominic Richardson of the Learning for Well-being Institute.</w:t>
      </w:r>
    </w:p>
    <w:p w14:paraId="0A37501D"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3E7A9F1C"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Introduction</w:t>
      </w:r>
    </w:p>
    <w:p w14:paraId="3046E26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Governments are navigating an era of compounding global crises, each placing new demands on already constrained budgets. Families are feeling the pressure. The rising cost of living is making it harder for parents to provide the nurturing care their children need in the years that matter most. When families cannot access affordable childcare, quality healthcare, or basic income support, the consequences fall first and hardest on the youngest children, in ways that are difficult and costly to reverse. That cost does not disappear. It accumulates quietly across a childhood and is carried by economies for decades.</w:t>
      </w:r>
    </w:p>
    <w:p w14:paraId="5AAD2E1C"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Early years investment is not simply the right thing to do. It is one of the most direct routes available to governments for achieving the goals already at the top of their agendas, from foundational learning and human capital development to workforce participation, child and maternal nutrition, gender equity, and poverty reduction. When governments invest in the earliest years, they move faster on all of these. Countries that give every child a strong foundation will be the ones better placed to thrive in the future.</w:t>
      </w:r>
    </w:p>
    <w:p w14:paraId="32E0E6D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In this environment, the Act For Early Years campaign offers a clear message. Investing in young children is not a cost to be deferred. It is one of the most reliable returns available to any government. This guide sets out the evidence behind that claim, in terms that Finance Ministers and senior decision makers at national, local, and municipal levels can act on directly.</w:t>
      </w:r>
    </w:p>
    <w:p w14:paraId="1B365CD9"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What we are calling for</w:t>
      </w:r>
    </w:p>
    <w:p w14:paraId="4B565A0C"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Act For Early Years is a global campaign calling for urgent action to ensure every child has access to high-quality and nurturing proven early years interventions through three goals:</w:t>
      </w:r>
    </w:p>
    <w:p w14:paraId="7960B2BD" w14:textId="77777777" w:rsidR="009235AD" w:rsidRDefault="516C1E25" w:rsidP="516C1E25">
      <w:pPr>
        <w:pStyle w:val="ListParagraph"/>
        <w:numPr>
          <w:ilvl w:val="0"/>
          <w:numId w:val="2"/>
        </w:numPr>
        <w:spacing w:after="80"/>
        <w:rPr>
          <w:rFonts w:ascii="Aptos Display" w:eastAsia="Aptos Display" w:hAnsi="Aptos Display" w:cs="Aptos Display"/>
        </w:rPr>
      </w:pPr>
      <w:r w:rsidRPr="516C1E25">
        <w:rPr>
          <w:rFonts w:ascii="Aptos Display" w:eastAsia="Aptos Display" w:hAnsi="Aptos Display" w:cs="Aptos Display"/>
        </w:rPr>
        <w:t>Universal access to quality primary health care in support of health, wellbeing, nutrition and development across pregnancy, birth, and early childhood.</w:t>
      </w:r>
    </w:p>
    <w:p w14:paraId="3C63207C" w14:textId="77777777" w:rsidR="009235AD" w:rsidRDefault="516C1E25" w:rsidP="516C1E25">
      <w:pPr>
        <w:pStyle w:val="ListParagraph"/>
        <w:numPr>
          <w:ilvl w:val="0"/>
          <w:numId w:val="2"/>
        </w:numPr>
        <w:spacing w:after="80"/>
        <w:rPr>
          <w:rFonts w:ascii="Aptos Display" w:eastAsia="Aptos Display" w:hAnsi="Aptos Display" w:cs="Aptos Display"/>
          <w:lang w:val="en-US"/>
        </w:rPr>
      </w:pPr>
      <w:r w:rsidRPr="516C1E25">
        <w:rPr>
          <w:rFonts w:ascii="Aptos Display" w:eastAsia="Aptos Display" w:hAnsi="Aptos Display" w:cs="Aptos Display"/>
          <w:lang w:val="en-US"/>
        </w:rPr>
        <w:t>Universal access to quality, inclusive preschool education and affordable and quality childcare.</w:t>
      </w:r>
    </w:p>
    <w:p w14:paraId="25C4AB9D" w14:textId="77777777" w:rsidR="009235AD" w:rsidRDefault="516C1E25" w:rsidP="516C1E25">
      <w:pPr>
        <w:pStyle w:val="ListParagraph"/>
        <w:numPr>
          <w:ilvl w:val="0"/>
          <w:numId w:val="2"/>
        </w:numPr>
        <w:spacing w:after="80"/>
        <w:rPr>
          <w:rFonts w:ascii="Aptos Display" w:eastAsia="Aptos Display" w:hAnsi="Aptos Display" w:cs="Aptos Display"/>
        </w:rPr>
      </w:pPr>
      <w:r w:rsidRPr="516C1E25">
        <w:rPr>
          <w:rFonts w:ascii="Aptos Display" w:eastAsia="Aptos Display" w:hAnsi="Aptos Display" w:cs="Aptos Display"/>
        </w:rPr>
        <w:t>Universal support for families including child benefits and parent and caregiver support.</w:t>
      </w:r>
    </w:p>
    <w:p w14:paraId="5DAB6C7B" w14:textId="77777777" w:rsidR="009235AD" w:rsidRDefault="009235AD" w:rsidP="516C1E25">
      <w:pPr>
        <w:spacing w:after="160"/>
        <w:rPr>
          <w:rFonts w:ascii="Aptos Display" w:eastAsia="Aptos Display" w:hAnsi="Aptos Display" w:cs="Aptos Display"/>
        </w:rPr>
      </w:pPr>
    </w:p>
    <w:p w14:paraId="0B4531FF"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Every intervention has been evaluated at scale. The results are real-world, the costs are known, and the returns are measurable. The question is no longer whether early childhood investment works. It is what to invest in, what it costs, and what it will return.</w:t>
      </w:r>
    </w:p>
    <w:p w14:paraId="15F24925"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In 2027, the first-ever International Financing Summit for Early Childhood will bring together governments, development partners, business leaders, and civil society to forge the bold financing commitments that the world's youngest children need. It is a watershed moment for the early years, and the first of its kind. The Summit will ask governments to make specific, measurable commitments to invest in young children, and every commitment made there can be grounded in the interventions on these pages. This guide is designed to make that decision easier.</w:t>
      </w:r>
    </w:p>
    <w:p w14:paraId="02EB378F"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4CCBB4CA"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Part 1: Big Wins and Best Bets for early childhood</w:t>
      </w:r>
    </w:p>
    <w:p w14:paraId="0B58CBB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Big Wins and Best Bets in this guide share two things. They work, and they are affordable. Each has been tested at scale in low and middle-income country settings, and each delivers measurable returns that reach well beyond the child. They are organised around the three Act For Early Years campaign goals, which together reflect the enabling environments for nurturing care, giving Finance Ministers a direct line from the evidence to the commitments the 2027 Summit will ask them to make.</w:t>
      </w:r>
    </w:p>
    <w:p w14:paraId="399F5DAA"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No government needs to start everywhere at once, but the evidence is clear that these goals are mutually reinforcing. Healthier children learn better. Children who learn in nurturing environments at home arrive at preschool ready to thrive. Families with income security and adequate parental leave make better use of every service available to them. The strongest outcomes belong to countries that invest across all three.</w:t>
      </w:r>
    </w:p>
    <w:p w14:paraId="40413B3C" w14:textId="77777777" w:rsidR="009235AD" w:rsidRDefault="516C1E25" w:rsidP="516C1E25">
      <w:pPr>
        <w:spacing w:before="80" w:after="160"/>
        <w:rPr>
          <w:rFonts w:ascii="Aptos Display" w:eastAsia="Aptos Display" w:hAnsi="Aptos Display" w:cs="Aptos Display"/>
          <w:i/>
          <w:iCs/>
          <w:color w:val="555555"/>
          <w:sz w:val="20"/>
          <w:szCs w:val="20"/>
          <w:lang w:val="en-US"/>
        </w:rPr>
      </w:pPr>
      <w:r w:rsidRPr="516C1E25">
        <w:rPr>
          <w:rFonts w:ascii="Aptos Display" w:eastAsia="Aptos Display" w:hAnsi="Aptos Display" w:cs="Aptos Display"/>
          <w:i/>
          <w:iCs/>
          <w:color w:val="555555"/>
          <w:sz w:val="20"/>
          <w:szCs w:val="20"/>
          <w:lang w:val="en-US"/>
        </w:rPr>
        <w:t>Note: The Nurturing Care Framework identifies four enabling environments that together support children's healthy development: enabling policies, supportive services, empowered communities, and caregivers' capabilities. The three Act For Early Years campaign goals map directly onto these environments.</w:t>
      </w:r>
    </w:p>
    <w:p w14:paraId="37DD02DF"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Big Wins investment guide</w:t>
      </w:r>
    </w:p>
    <w:p w14:paraId="357DC211"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Big Wins investment guide shows the strongest early childhood interventions across the three Act For Early Years campaign goals. Each Big Win has been evaluated at scale in low and middle-income country settings and selected on the basis of evidence of impact and value for money. For each intervention, the guide sets out the estimated cost per child and the financial return on every dollar invested. Full technical details and methodology are available in the technical annex.</w:t>
      </w:r>
    </w:p>
    <w:p w14:paraId="2E7A4A48"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1: Universal access to quality primary health care</w:t>
      </w:r>
    </w:p>
    <w:p w14:paraId="6023F758" w14:textId="77777777" w:rsidR="009235AD" w:rsidRDefault="516C1E25" w:rsidP="516C1E25">
      <w:pPr>
        <w:spacing w:after="160"/>
        <w:rPr>
          <w:rFonts w:ascii="Aptos Display" w:eastAsia="Aptos Display" w:hAnsi="Aptos Display" w:cs="Aptos Display"/>
          <w:b/>
          <w:bCs/>
          <w:lang w:val="en-US"/>
        </w:rPr>
      </w:pPr>
      <w:r w:rsidRPr="516C1E25">
        <w:rPr>
          <w:rFonts w:ascii="Aptos Display" w:eastAsia="Aptos Display" w:hAnsi="Aptos Display" w:cs="Aptos Display"/>
          <w:b/>
          <w:bCs/>
          <w:lang w:val="en-US"/>
        </w:rPr>
        <w:t>Immunisations</w:t>
      </w:r>
    </w:p>
    <w:p w14:paraId="3671CD1C"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The full recommended schedule of vaccines for young children.</w:t>
      </w:r>
    </w:p>
    <w:p w14:paraId="6F925E7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$88 per child per year</w:t>
      </w:r>
    </w:p>
    <w:p w14:paraId="4D443C24"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Not reported for this intervention</w:t>
      </w:r>
    </w:p>
    <w:p w14:paraId="6A05A809" w14:textId="77777777" w:rsidR="009235AD" w:rsidRDefault="009235AD" w:rsidP="516C1E25">
      <w:pPr>
        <w:spacing w:after="160"/>
        <w:rPr>
          <w:rFonts w:ascii="Aptos Display" w:eastAsia="Aptos Display" w:hAnsi="Aptos Display" w:cs="Aptos Display"/>
        </w:rPr>
      </w:pPr>
    </w:p>
    <w:p w14:paraId="39DC61DE"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Nutritional Support</w:t>
      </w:r>
    </w:p>
    <w:p w14:paraId="7C0DEBFC"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Essential nutrients for children from birth to 36 months.</w:t>
      </w:r>
    </w:p>
    <w:p w14:paraId="05482F43"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$70 per child per year</w:t>
      </w:r>
    </w:p>
    <w:p w14:paraId="5C2CB92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$25</w:t>
      </w:r>
    </w:p>
    <w:p w14:paraId="5A39BBE3" w14:textId="77777777" w:rsidR="009235AD" w:rsidRDefault="009235AD" w:rsidP="516C1E25">
      <w:pPr>
        <w:spacing w:after="160"/>
        <w:rPr>
          <w:rFonts w:ascii="Aptos Display" w:eastAsia="Aptos Display" w:hAnsi="Aptos Display" w:cs="Aptos Display"/>
        </w:rPr>
      </w:pPr>
    </w:p>
    <w:p w14:paraId="557F8B2F" w14:textId="77777777" w:rsidR="009235AD" w:rsidRDefault="516C1E25" w:rsidP="516C1E25">
      <w:pPr>
        <w:pStyle w:val="heading30"/>
        <w:rPr>
          <w:rFonts w:ascii="Aptos Display" w:eastAsia="Aptos Display" w:hAnsi="Aptos Display" w:cs="Aptos Display"/>
          <w:lang w:val="en-US"/>
        </w:rPr>
      </w:pPr>
      <w:r w:rsidRPr="516C1E25">
        <w:rPr>
          <w:rFonts w:ascii="Aptos Display" w:eastAsia="Aptos Display" w:hAnsi="Aptos Display" w:cs="Aptos Display"/>
          <w:lang w:val="en-US"/>
        </w:rPr>
        <w:t>Goal 2: Universal access to quality, inclusive preschool education and affordable and quality childcare</w:t>
      </w:r>
    </w:p>
    <w:p w14:paraId="23348B14"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Preschool</w:t>
      </w:r>
    </w:p>
    <w:p w14:paraId="52B67FCB"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Quality early education and care for children aged three to school age.</w:t>
      </w:r>
    </w:p>
    <w:p w14:paraId="563F747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$77 per child per year</w:t>
      </w:r>
    </w:p>
    <w:p w14:paraId="4A5F1BC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$12</w:t>
      </w:r>
    </w:p>
    <w:p w14:paraId="670D9C22" w14:textId="77777777" w:rsidR="009235AD" w:rsidRDefault="516C1E25" w:rsidP="516C1E25">
      <w:pPr>
        <w:spacing w:before="80" w:after="160"/>
        <w:rPr>
          <w:rFonts w:ascii="Aptos Display" w:eastAsia="Aptos Display" w:hAnsi="Aptos Display" w:cs="Aptos Display"/>
          <w:i/>
          <w:iCs/>
          <w:color w:val="555555"/>
          <w:sz w:val="20"/>
          <w:szCs w:val="20"/>
          <w:lang w:val="en-US"/>
        </w:rPr>
      </w:pPr>
      <w:r w:rsidRPr="516C1E25">
        <w:rPr>
          <w:rFonts w:ascii="Aptos Display" w:eastAsia="Aptos Display" w:hAnsi="Aptos Display" w:cs="Aptos Display"/>
          <w:i/>
          <w:iCs/>
          <w:color w:val="555555"/>
          <w:sz w:val="20"/>
          <w:szCs w:val="20"/>
          <w:lang w:val="en-US"/>
        </w:rPr>
        <w:t>Cost figures reflect delivery in low-income country settings, where preschool can be provided at $76.83 per child per year. In middle-income settings, such as those evidenced in South America, costs rise to $2,950 per child per year, reflecting higher staffing, infrastructure, and quality standards. When the cost is calculated for preschool expansion, such as the construction of an additional classroom in an existing school rather than the full cost of preschool, costs are $300 per child per year.</w:t>
      </w:r>
    </w:p>
    <w:p w14:paraId="1A9C7BDF"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Childcare</w:t>
      </w:r>
    </w:p>
    <w:p w14:paraId="4718426E"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Centre-based care and learning for children aged zero to three, supporting child development and parents returning to work.</w:t>
      </w:r>
    </w:p>
    <w:p w14:paraId="1878CD06"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$332 per child per year</w:t>
      </w:r>
    </w:p>
    <w:p w14:paraId="6D38835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$4</w:t>
      </w:r>
    </w:p>
    <w:p w14:paraId="41C8F396" w14:textId="77777777" w:rsidR="009235AD" w:rsidRDefault="009235AD" w:rsidP="516C1E25">
      <w:pPr>
        <w:spacing w:after="160"/>
        <w:rPr>
          <w:rFonts w:ascii="Aptos Display" w:eastAsia="Aptos Display" w:hAnsi="Aptos Display" w:cs="Aptos Display"/>
        </w:rPr>
      </w:pPr>
    </w:p>
    <w:p w14:paraId="0A207F49"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3: Universal support for families</w:t>
      </w:r>
    </w:p>
    <w:p w14:paraId="5D6E32CD"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 and Caregiver Coaching</w:t>
      </w:r>
    </w:p>
    <w:p w14:paraId="1D772E59"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Supporting parents and caregivers at home to give their children the best start through improved nurturing and play.</w:t>
      </w:r>
    </w:p>
    <w:p w14:paraId="651B9A8D"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$300 per child per year</w:t>
      </w:r>
    </w:p>
    <w:p w14:paraId="4C2B89AC"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$5</w:t>
      </w:r>
    </w:p>
    <w:p w14:paraId="72A3D3EC" w14:textId="77777777" w:rsidR="009235AD" w:rsidRDefault="009235AD" w:rsidP="516C1E25">
      <w:pPr>
        <w:spacing w:after="160"/>
        <w:rPr>
          <w:rFonts w:ascii="Aptos Display" w:eastAsia="Aptos Display" w:hAnsi="Aptos Display" w:cs="Aptos Display"/>
        </w:rPr>
      </w:pPr>
    </w:p>
    <w:p w14:paraId="1023AAB1"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Cash Transfers</w:t>
      </w:r>
    </w:p>
    <w:p w14:paraId="1B4A8DE8"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Direct payments to families to strengthen household income and improve access to services.</w:t>
      </w:r>
    </w:p>
    <w:p w14:paraId="63A9F7C3"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$15 per child per year</w:t>
      </w:r>
    </w:p>
    <w:p w14:paraId="29A8356A"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$19</w:t>
      </w:r>
    </w:p>
    <w:p w14:paraId="0D0B940D" w14:textId="77777777" w:rsidR="009235AD" w:rsidRDefault="009235AD" w:rsidP="516C1E25">
      <w:pPr>
        <w:spacing w:after="160"/>
        <w:rPr>
          <w:rFonts w:ascii="Aptos Display" w:eastAsia="Aptos Display" w:hAnsi="Aptos Display" w:cs="Aptos Display"/>
        </w:rPr>
      </w:pPr>
    </w:p>
    <w:p w14:paraId="1DF9F4BD"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In-person and Virtual Support for Parents and Caregivers</w:t>
      </w:r>
    </w:p>
    <w:p w14:paraId="756DC543"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Flexible combinations of in-person and virtual support for parents and caregivers.</w:t>
      </w:r>
    </w:p>
    <w:p w14:paraId="2050EE58"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per child: </w:t>
      </w:r>
      <w:r w:rsidRPr="516C1E25">
        <w:rPr>
          <w:rFonts w:ascii="Aptos Display" w:eastAsia="Aptos Display" w:hAnsi="Aptos Display" w:cs="Aptos Display"/>
        </w:rPr>
        <w:t>$246 per child per year</w:t>
      </w:r>
    </w:p>
    <w:p w14:paraId="4B3C4B7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on every $1 invested: </w:t>
      </w:r>
      <w:r w:rsidRPr="516C1E25">
        <w:rPr>
          <w:rFonts w:ascii="Aptos Display" w:eastAsia="Aptos Display" w:hAnsi="Aptos Display" w:cs="Aptos Display"/>
        </w:rPr>
        <w:t>$12</w:t>
      </w:r>
    </w:p>
    <w:p w14:paraId="0E27B00A" w14:textId="77777777" w:rsidR="009235AD" w:rsidRDefault="009235AD" w:rsidP="516C1E25">
      <w:pPr>
        <w:spacing w:after="160"/>
        <w:rPr>
          <w:rFonts w:ascii="Aptos Display" w:eastAsia="Aptos Display" w:hAnsi="Aptos Display" w:cs="Aptos Display"/>
        </w:rPr>
      </w:pPr>
    </w:p>
    <w:p w14:paraId="60061E4C"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25612ED9"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Best Bets investment guide</w:t>
      </w:r>
    </w:p>
    <w:p w14:paraId="1A7ECC6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Best Bets are interventions where early research shows real promise but the evidence base is still developing, whether from smaller study samples, pilot-only data, or impacts that are not yet measurable at scale. Some interventions also present an inherent challenge in that the way they work in the real world makes them difficult to test through the methods that generate the strongest causal evidence. That does not make the need for them any less clear. The evidence is catching up.</w:t>
      </w:r>
    </w:p>
    <w:p w14:paraId="5CC5BAED" w14:textId="77777777" w:rsidR="009235AD" w:rsidRDefault="516C1E25" w:rsidP="516C1E25">
      <w:pPr>
        <w:spacing w:before="80" w:after="160"/>
        <w:rPr>
          <w:rFonts w:ascii="Aptos Display" w:eastAsia="Aptos Display" w:hAnsi="Aptos Display" w:cs="Aptos Display"/>
          <w:i/>
          <w:iCs/>
          <w:color w:val="555555"/>
          <w:sz w:val="20"/>
          <w:szCs w:val="20"/>
          <w:lang w:val="en-US"/>
        </w:rPr>
      </w:pPr>
      <w:r w:rsidRPr="516C1E25">
        <w:rPr>
          <w:rFonts w:ascii="Aptos Display" w:eastAsia="Aptos Display" w:hAnsi="Aptos Display" w:cs="Aptos Display"/>
          <w:i/>
          <w:iCs/>
          <w:color w:val="555555"/>
          <w:sz w:val="20"/>
          <w:szCs w:val="20"/>
          <w:lang w:val="en-US"/>
        </w:rPr>
        <w:t>Note: No Best Bets are currently identified for the early learning and preschool goal. Both preschool and childcare have sufficient at-scale evidence to qualify as proven Big Wins.</w:t>
      </w:r>
    </w:p>
    <w:p w14:paraId="0357089C"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1: Universal access to quality primary health care</w:t>
      </w:r>
    </w:p>
    <w:p w14:paraId="59672425"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Growth Monitoring</w:t>
      </w:r>
    </w:p>
    <w:p w14:paraId="53AD6780"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Regular tracking of a child's weight, height, and development to identify health concerns early.</w:t>
      </w:r>
    </w:p>
    <w:p w14:paraId="541318EE"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Antenatal Care</w:t>
      </w:r>
    </w:p>
    <w:p w14:paraId="7612201D"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Essential health checks, information, and support for pregnant women to ensure a safe pregnancy and healthy birth.</w:t>
      </w:r>
    </w:p>
    <w:p w14:paraId="44EAFD9C" w14:textId="77777777" w:rsidR="009235AD" w:rsidRDefault="009235AD" w:rsidP="516C1E25">
      <w:pPr>
        <w:spacing w:after="160"/>
        <w:rPr>
          <w:rFonts w:ascii="Aptos Display" w:eastAsia="Aptos Display" w:hAnsi="Aptos Display" w:cs="Aptos Display"/>
        </w:rPr>
      </w:pPr>
    </w:p>
    <w:p w14:paraId="747CAA82"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3: Universal support for families</w:t>
      </w:r>
    </w:p>
    <w:p w14:paraId="13692B49"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Parental Leave</w:t>
      </w:r>
    </w:p>
    <w:p w14:paraId="17C71B57"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Paid, job-protected time off for parents following the birth or adoption of a child.</w:t>
      </w:r>
    </w:p>
    <w:p w14:paraId="6C720CF0"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Parenting Groups</w:t>
      </w:r>
    </w:p>
    <w:p w14:paraId="0D180EAE"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Group sessions supporting parents and caregivers to strengthen nurturing practices and child development at home.</w:t>
      </w:r>
    </w:p>
    <w:p w14:paraId="4B94D5A5"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0A2105C5"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The evidence behind the Big Wins</w:t>
      </w:r>
    </w:p>
    <w:p w14:paraId="47BC6088"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Goal 1: Early health and nutritional support</w:t>
      </w:r>
    </w:p>
    <w:p w14:paraId="62021EC1"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A child's brain develops faster in the first thousand days than at any other point in their life. What happens during that window shapes everything that follows. Early health and nutrition programmes protect that window, reducing the risk of stillbirth, low birthweight, and acute malnutrition whilst building the cognitive foundations that determine whether a child will learn, thrive, and contribute.</w:t>
      </w:r>
    </w:p>
    <w:p w14:paraId="705555A9"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Across Sub-Saharan Africa, in countries ranging from Niger, Rwanda, Uganda and Mozambique, failing to provide adequate nutritional support to children under two has been found to cost the equivalent of nearly 3% of GDP in foregone adult productivity, as children who do not receive what they need in those earliest years enter the workforce less able to learn, earn, and contribute fully to their economies (Behrman and Vazquez, 2025).</w:t>
      </w:r>
    </w:p>
    <w:p w14:paraId="6D7C8008"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case for investing in child health extends beyond nutrition. A full schedule of recommended vaccines, alongside interventions such as kangaroo mother care, delayed cord clamping, and diarrhoea prevention and treatment, together form the foundation of effective early health provision and represent some of the strongest available evidence on reducing child mortality and improving long-term outcomes (Vaivada et al., 2022).</w:t>
      </w:r>
    </w:p>
    <w:p w14:paraId="26DD4A2D"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Goal 2: Quality childcare and preschool</w:t>
      </w:r>
    </w:p>
    <w:p w14:paraId="5088096F"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The years from three to five are when quality early education has some of its strongest and most lasting effects. High-quality childcare and preschool build the foundational learning skills that children need to succeed in school and beyond, improving school readiness, reducing inequality at the point of entry into primary school, and delivering sustained gains in educational attainment that follow children into adulthood.</w:t>
      </w:r>
    </w:p>
    <w:p w14:paraId="55A19626"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Mexico's universal preschool mandate increased years of preschool attendance, significantly improved cognitive and non-cognitive skills, and had longer-term positive impacts on high school completion and college enrolment (Behrman et al., 2025). These cognitive gains matter because they build the foundational learning skills that determine whether a child is ready to thrive in school and beyond. Evidence from Nicaragua reinforces this picture, showing that centre-based childcare can deliver meaningful gains in children's socio-emotional development and support maternal workforce participation, even at low cost, with higher quality provision amplifying outcomes for children (Hojman and Lopez Boo, 2022).</w:t>
      </w:r>
    </w:p>
    <w:p w14:paraId="730D7CE3" w14:textId="77777777" w:rsidR="009235AD" w:rsidRDefault="516C1E25" w:rsidP="516C1E25">
      <w:pPr>
        <w:pStyle w:val="heading20"/>
        <w:rPr>
          <w:rFonts w:ascii="Aptos Display" w:eastAsia="Aptos Display" w:hAnsi="Aptos Display" w:cs="Aptos Display"/>
          <w:lang w:val="en-US"/>
        </w:rPr>
      </w:pPr>
      <w:r w:rsidRPr="516C1E25">
        <w:rPr>
          <w:rFonts w:ascii="Aptos Display" w:eastAsia="Aptos Display" w:hAnsi="Aptos Display" w:cs="Aptos Display"/>
          <w:lang w:val="en-US"/>
        </w:rPr>
        <w:t>Goal 3: Parenting and caregiver coaching programmes</w:t>
      </w:r>
    </w:p>
    <w:p w14:paraId="0865914F"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A child's earliest interactions with their parents and caregivers are the architecture of the developing brain. Talk, play, and responsive caregiving in the first years build language, reasoning, and emotional resilience that no later intervention can fully replicate.</w:t>
      </w:r>
    </w:p>
    <w:p w14:paraId="0FF52147"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Evidence from home visit programmes across Latin America and the Caribbean shows strong rapport between home visitors and families, with caregivers and children actively participating in play-based learning activities that support child development (Leer and Lopez-Boo, 2018). In Bangladesh, a home-visiting programme integrated into the government's existing national nutrition service delivered meaningful gains across cognitive, language, and socio-emotional development, while also improving children's nutritional outcomes, demonstrating that well-designed early stimulation programmes can build human capital across multiple dimensions simultaneously (Bos et al., 2024).</w:t>
      </w:r>
    </w:p>
    <w:p w14:paraId="132F8437"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Goal 3: Family-friendly policies</w:t>
      </w:r>
    </w:p>
    <w:p w14:paraId="4A8FA0A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Half of the world's poor are children (Fenz and Hamel, 2019), and the multiple risk factors linked to poverty can substantially compromise children's health and developmental outcomes (Black et al., 2017). Cash transfer programmes are a widely used social safety net strategy aimed at reducing the hardships of poverty for families with children younger than 18. They give recipients the freedom to allocate money as they see fit, operating on the premise that poverty is primarily an income problem that limits families' ability to meet basic needs such as nutritious food or medical treatment.</w:t>
      </w:r>
    </w:p>
    <w:p w14:paraId="227EDC5B"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These programmes exist in two main forms. Conditional cash transfers require beneficiaries to meet specific obligations, typically related to healthcare attendance for young children or school enrolment for older children (de Janvry and Sadoulet, 2006). Unconditional cash transfers provide financial support without any such requirements. Across both models, the evidence shows small but significant effects on child growth, health, and development outcomes (Fernald et al., 2025).</w:t>
      </w:r>
    </w:p>
    <w:p w14:paraId="4B1B0150"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The children missing from the evidence</w:t>
      </w:r>
    </w:p>
    <w:p w14:paraId="53789A4E"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One area the research sought to assess but could not yet include is developmental screening, covering early identification of hearing loss, developmental delays, and other conditions that shape a child's trajectory from the earliest years. The evidence base does not currently allow for comparable measurement at scale in low and middle-income countries. But the absence of data is itself the story. Most countries do not routinely monitor children's development as part of standard healthcare. The tools that exist are not well designed to capture the experiences of children with disabilities. Children who are not identified early do not get the support they need during the window when it matters most. The Act For Early Years campaign is committed to closing that gap, because universal truly means universal only when every child is visible in the data that drives investment decisions.</w:t>
      </w:r>
    </w:p>
    <w:p w14:paraId="3DEEC669"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5C235140"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Part 2: The long-term costs of doing nothing</w:t>
      </w:r>
    </w:p>
    <w:p w14:paraId="11813C8A"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Every year a government delays investing in the early years, it pays a price.</w:t>
      </w:r>
    </w:p>
    <w:p w14:paraId="1D482E15"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That price is real and it is measurable. Across low-income countries, failing to invest in young children can cost an average of more than 3.5% of GDP in forgone economic potential. In some countries, that figure exceeds 15%. These are not projections of a distant crisis. They are the ongoing cost of a choice that governments make, or fail to make, every single year.</w:t>
      </w:r>
    </w:p>
    <w:p w14:paraId="16A8A206"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pattern is clear and consistent. The poorer the country, the higher the cost of inaction. In high-income countries, the estimated economic loss from underinvesting in the early years averages less than 1% of GDP. In low-income countries, it can be up to ten times this. The countries with the least room to absorb economic loss are the ones bearing the greatest burden. When quality is factored into the modelling, the cost of inaction rises further still. High-quality provision costs more to deliver, but it generates larger gains in adult productivity, which means the price of failing to invest becomes higher, not lower.</w:t>
      </w:r>
    </w:p>
    <w:p w14:paraId="41E73EFD"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What inaction costs, by country income group</w:t>
      </w:r>
    </w:p>
    <w:p w14:paraId="28973D3F"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These estimates capture the economic cost of failing to provide quality early education, measured as foregone adult productivity and expressed as a percentage of GDP. Figures are modelled from early childhood through to labour market entry across 101 countries for preschool, 109 for nutrition, and 50 for parenting home visits. All countries are grouped by income level.</w:t>
      </w:r>
    </w:p>
    <w:p w14:paraId="3DA57F66" w14:textId="10633783" w:rsidR="50D5DC4B" w:rsidRDefault="3EF44D35" w:rsidP="50D5DC4B">
      <w:pPr>
        <w:spacing w:after="160"/>
        <w:rPr>
          <w:rFonts w:ascii="Aptos Display" w:eastAsia="Aptos Display" w:hAnsi="Aptos Display" w:cs="Aptos Display"/>
          <w:lang w:val="en-US"/>
        </w:rPr>
      </w:pPr>
      <w:r w:rsidRPr="7315C2D7">
        <w:rPr>
          <w:rFonts w:ascii="Aptos Display" w:eastAsia="Aptos Display" w:hAnsi="Aptos Display" w:cs="Aptos Display"/>
          <w:lang w:val="en-US"/>
        </w:rPr>
        <w:t xml:space="preserve">Quality </w:t>
      </w:r>
      <w:r w:rsidRPr="36192806">
        <w:rPr>
          <w:rFonts w:ascii="Aptos Display" w:eastAsia="Aptos Display" w:hAnsi="Aptos Display" w:cs="Aptos Display"/>
          <w:lang w:val="en-US"/>
        </w:rPr>
        <w:t>Preschool</w:t>
      </w:r>
    </w:p>
    <w:p w14:paraId="2C3E51DA" w14:textId="064861FE" w:rsidR="3EF44D35" w:rsidRDefault="3EF44D35" w:rsidP="36192806">
      <w:pPr>
        <w:spacing w:after="160"/>
        <w:rPr>
          <w:rFonts w:ascii="Aptos Display" w:eastAsia="Aptos Display" w:hAnsi="Aptos Display" w:cs="Aptos Display"/>
          <w:lang w:val="en-US"/>
        </w:rPr>
      </w:pPr>
      <w:r w:rsidRPr="2AC3C80E">
        <w:rPr>
          <w:rFonts w:ascii="Aptos Display" w:eastAsia="Aptos Display" w:hAnsi="Aptos Display" w:cs="Aptos Display"/>
          <w:lang w:val="en-US"/>
        </w:rPr>
        <w:t xml:space="preserve">Quality </w:t>
      </w:r>
      <w:r w:rsidRPr="24D3DABE">
        <w:rPr>
          <w:rFonts w:ascii="Aptos Display" w:eastAsia="Aptos Display" w:hAnsi="Aptos Display" w:cs="Aptos Display"/>
          <w:lang w:val="en-US"/>
        </w:rPr>
        <w:t>Childcare</w:t>
      </w:r>
    </w:p>
    <w:p w14:paraId="2864F9B2" w14:textId="0E93C3C8" w:rsidR="3EF44D35" w:rsidRDefault="3EF44D35" w:rsidP="0899D812">
      <w:pPr>
        <w:spacing w:after="160"/>
        <w:rPr>
          <w:rFonts w:ascii="Aptos Display" w:eastAsia="Aptos Display" w:hAnsi="Aptos Display" w:cs="Aptos Display"/>
          <w:lang w:val="en-US"/>
        </w:rPr>
      </w:pPr>
      <w:r w:rsidRPr="0899D812">
        <w:rPr>
          <w:rFonts w:ascii="Aptos Display" w:eastAsia="Aptos Display" w:hAnsi="Aptos Display" w:cs="Aptos Display"/>
          <w:lang w:val="en-US"/>
        </w:rPr>
        <w:t>Nutrition</w:t>
      </w:r>
    </w:p>
    <w:p w14:paraId="1F250DDF" w14:textId="77777777" w:rsidR="009235AD" w:rsidRDefault="516C1E25" w:rsidP="516C1E25">
      <w:pPr>
        <w:spacing w:before="80" w:after="160"/>
        <w:rPr>
          <w:rFonts w:ascii="Aptos Display" w:eastAsia="Aptos Display" w:hAnsi="Aptos Display" w:cs="Aptos Display"/>
          <w:i/>
          <w:iCs/>
          <w:color w:val="555555"/>
          <w:sz w:val="20"/>
          <w:szCs w:val="20"/>
          <w:lang w:val="en-US"/>
        </w:rPr>
      </w:pPr>
      <w:r w:rsidRPr="516C1E25">
        <w:rPr>
          <w:rFonts w:ascii="Aptos Display" w:eastAsia="Aptos Display" w:hAnsi="Aptos Display" w:cs="Aptos Display"/>
          <w:i/>
          <w:iCs/>
          <w:color w:val="555555"/>
          <w:sz w:val="20"/>
          <w:szCs w:val="20"/>
          <w:lang w:val="en-US"/>
        </w:rPr>
        <w:t>Each intervention is modelled independently. Figures should not be summed across interventions.</w:t>
      </w:r>
    </w:p>
    <w:p w14:paraId="021A6EB7"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Behind every percentage point is a child who did not receive the nutrition they needed in their first thousand days. A family without access to affordable childcare. A child who arrived at school unable to learn. These are not abstract losses. They accumulate quietly, they compound across a childhood, and they are extremely difficult to reverse.</w:t>
      </w:r>
    </w:p>
    <w:p w14:paraId="39DCA523"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But none of this is inevitable. The interventions in this guide show what is possible when governments do invest. Children are healthier and better nourished. Families with greater economic security. Economies that grow because more of their people can fully participate. The cost of acting is bounded and known. The cost of waiting is not.</w:t>
      </w:r>
    </w:p>
    <w:p w14:paraId="3656B9AB"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442B8DF5"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Part 3: Proven short-term wins</w:t>
      </w:r>
    </w:p>
    <w:p w14:paraId="5748845E"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Early years investments that pay back within a political term</w:t>
      </w:r>
    </w:p>
    <w:p w14:paraId="7193E6A4"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Big Wins in this guide make a powerful long-term case for investing in young children. But leaders facing short political cycles need to show action and delivery within the years they are in office. The returns on early years investment do not all sit decades away. For the right interventions, they begin arriving in year one.</w:t>
      </w:r>
    </w:p>
    <w:p w14:paraId="36D5862A"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Research carried out by the Learning for Well-being Institute on behalf of the Act For Early Years campaign shows that the step to universal provision is where those returns are unlocked. Drawing on cross-national panel analysis of 36 OECD and European countries, comparing outcomes in countries with and without universal provision, the research finds that universal systems deliver faster, larger, and more sustained results than partial or targeted approaches across every outcome measured (Richardson et al., 2026).</w:t>
      </w:r>
    </w:p>
    <w:p w14:paraId="0D368CB0"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Universal systems deliver more</w:t>
      </w:r>
    </w:p>
    <w:p w14:paraId="7798E949"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The evidence is unambiguous on one point. Universal provision outperforms targeted approaches on every outcome measured. Universal schemes give all families financial security, ensure no one is excluded because of complex eligibility rules, and deliver fairer outcomes across income groups. They also reach the children most likely to be missed by targeted systems, those whose families do not know how to navigate bureaucratic processes, whose circumstances do not fit neat eligibility categories, or who live in communities where services simply do not reach.</w:t>
      </w:r>
    </w:p>
    <w:p w14:paraId="2D3623B6"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Where universal benefits are combined with complementary measures such as paid parental leave and accessible childcare, the impacts are amplified further. In Uruguay, a coordinated universal package has been projected to cut absolute child poverty by more than 70% (Richardson et al., 2025). On parental leave, each additional month of paid maternity leave is associated with a 13% reduction in infant mortality across low and middle-income countries (Nandi et al., 2016).</w:t>
      </w:r>
    </w:p>
    <w:p w14:paraId="5A7DFDAA"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Three political-cycle investment wins</w:t>
      </w:r>
    </w:p>
    <w:p w14:paraId="01042077"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projections below set out the short-term returns from moving to universal provision across three policy levers within the Universal Support for Families campaign goal. The data is drawn from cross-national panel analysis of 36 OECD and European countries (Richardson et al., 2026). Each policy lever is modelled independently and the figures should not be read as cumulative.</w:t>
      </w:r>
    </w:p>
    <w:p w14:paraId="218D29F5"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1. Universal child benefits</w:t>
      </w:r>
    </w:p>
    <w:p w14:paraId="3748E5FE"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Children lifted out of poverty: </w:t>
      </w:r>
      <w:r w:rsidRPr="516C1E25">
        <w:rPr>
          <w:rFonts w:ascii="Aptos Display" w:eastAsia="Aptos Display" w:hAnsi="Aptos Display" w:cs="Aptos Display"/>
        </w:rPr>
        <w:t>1.09 million (Year 1)</w:t>
      </w:r>
    </w:p>
    <w:p w14:paraId="3ED9292D" w14:textId="77777777" w:rsidR="009235AD"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 </w:t>
      </w:r>
      <w:r w:rsidRPr="516C1E25">
        <w:rPr>
          <w:rFonts w:ascii="Aptos Display" w:eastAsia="Aptos Display" w:hAnsi="Aptos Display" w:cs="Aptos Display"/>
          <w:lang w:val="en-US"/>
        </w:rPr>
        <w:t>490,000 additional (cumulative across years 1 to 3)</w:t>
      </w:r>
    </w:p>
    <w:p w14:paraId="0B40FFAF" w14:textId="77777777" w:rsidR="009235AD"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Additional women in employment: </w:t>
      </w:r>
      <w:r w:rsidRPr="516C1E25">
        <w:rPr>
          <w:rFonts w:ascii="Aptos Display" w:eastAsia="Aptos Display" w:hAnsi="Aptos Display" w:cs="Aptos Display"/>
          <w:lang w:val="en-US"/>
        </w:rPr>
        <w:t>4.16 million (Year 1)</w:t>
      </w:r>
    </w:p>
    <w:p w14:paraId="5F1CD9F1" w14:textId="77777777" w:rsidR="009235AD"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 </w:t>
      </w:r>
      <w:r w:rsidRPr="516C1E25">
        <w:rPr>
          <w:rFonts w:ascii="Aptos Display" w:eastAsia="Aptos Display" w:hAnsi="Aptos Display" w:cs="Aptos Display"/>
          <w:lang w:val="en-US"/>
        </w:rPr>
        <w:t>2.17 million additional (Year 2)</w:t>
      </w:r>
    </w:p>
    <w:p w14:paraId="696F314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More children in pre-primary education: </w:t>
      </w:r>
      <w:r w:rsidRPr="516C1E25">
        <w:rPr>
          <w:rFonts w:ascii="Aptos Display" w:eastAsia="Aptos Display" w:hAnsi="Aptos Display" w:cs="Aptos Display"/>
        </w:rPr>
        <w:t>951,000 (Year 1)</w:t>
      </w:r>
    </w:p>
    <w:p w14:paraId="3DFE6B8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 </w:t>
      </w:r>
      <w:r w:rsidRPr="516C1E25">
        <w:rPr>
          <w:rFonts w:ascii="Aptos Display" w:eastAsia="Aptos Display" w:hAnsi="Aptos Display" w:cs="Aptos Display"/>
        </w:rPr>
        <w:t>1.48 million (Year 3)</w:t>
      </w:r>
    </w:p>
    <w:p w14:paraId="45FB0818" w14:textId="77777777" w:rsidR="009235AD" w:rsidRDefault="009235AD" w:rsidP="516C1E25">
      <w:pPr>
        <w:spacing w:after="160"/>
        <w:rPr>
          <w:rFonts w:ascii="Aptos Display" w:eastAsia="Aptos Display" w:hAnsi="Aptos Display" w:cs="Aptos Display"/>
        </w:rPr>
      </w:pPr>
    </w:p>
    <w:p w14:paraId="036065F0" w14:textId="77777777" w:rsidR="009235AD" w:rsidRDefault="516C1E25" w:rsidP="516C1E25">
      <w:pPr>
        <w:pStyle w:val="heading30"/>
        <w:rPr>
          <w:rFonts w:ascii="Aptos Display" w:eastAsia="Aptos Display" w:hAnsi="Aptos Display" w:cs="Aptos Display"/>
          <w:lang w:val="en-US"/>
        </w:rPr>
      </w:pPr>
      <w:r w:rsidRPr="516C1E25">
        <w:rPr>
          <w:rFonts w:ascii="Aptos Display" w:eastAsia="Aptos Display" w:hAnsi="Aptos Display" w:cs="Aptos Display"/>
          <w:lang w:val="en-US"/>
        </w:rPr>
        <w:t>2. Universal maternity leave</w:t>
      </w:r>
    </w:p>
    <w:p w14:paraId="2B5153B4"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Children lifted out of poverty: </w:t>
      </w:r>
      <w:r w:rsidRPr="516C1E25">
        <w:rPr>
          <w:rFonts w:ascii="Aptos Display" w:eastAsia="Aptos Display" w:hAnsi="Aptos Display" w:cs="Aptos Display"/>
        </w:rPr>
        <w:t>1.5 million (Year 3)</w:t>
      </w:r>
    </w:p>
    <w:p w14:paraId="6001EB9B" w14:textId="77777777" w:rsidR="009235AD"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Additional women in employment: </w:t>
      </w:r>
      <w:r w:rsidRPr="516C1E25">
        <w:rPr>
          <w:rFonts w:ascii="Aptos Display" w:eastAsia="Aptos Display" w:hAnsi="Aptos Display" w:cs="Aptos Display"/>
          <w:lang w:val="en-US"/>
        </w:rPr>
        <w:t>2.3 million (Year 3 peak)</w:t>
      </w:r>
    </w:p>
    <w:p w14:paraId="18F7C81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More children in pre-primary education: </w:t>
      </w:r>
      <w:r w:rsidRPr="516C1E25">
        <w:rPr>
          <w:rFonts w:ascii="Aptos Display" w:eastAsia="Aptos Display" w:hAnsi="Aptos Display" w:cs="Aptos Display"/>
        </w:rPr>
        <w:t>1.27 million (Year 3)</w:t>
      </w:r>
    </w:p>
    <w:p w14:paraId="549B3E19" w14:textId="77777777" w:rsidR="009235AD" w:rsidRDefault="516C1E25" w:rsidP="516C1E25">
      <w:pPr>
        <w:spacing w:before="80" w:after="160"/>
        <w:rPr>
          <w:rFonts w:ascii="Aptos Display" w:eastAsia="Aptos Display" w:hAnsi="Aptos Display" w:cs="Aptos Display"/>
          <w:i/>
          <w:iCs/>
          <w:color w:val="555555"/>
          <w:sz w:val="20"/>
          <w:szCs w:val="20"/>
          <w:lang w:val="en-US"/>
        </w:rPr>
      </w:pPr>
      <w:r w:rsidRPr="516C1E25">
        <w:rPr>
          <w:rFonts w:ascii="Aptos Display" w:eastAsia="Aptos Display" w:hAnsi="Aptos Display" w:cs="Aptos Display"/>
          <w:i/>
          <w:iCs/>
          <w:color w:val="555555"/>
          <w:sz w:val="20"/>
          <w:szCs w:val="20"/>
          <w:lang w:val="en-US"/>
        </w:rPr>
        <w:t>Figure for children lifted out of poverty represents the cumulative impact across years 1 to 3 rather than a single-year estimate. Figure for additional women in employment represents the year 3 peak rather than a cumulative total.</w:t>
      </w:r>
    </w:p>
    <w:p w14:paraId="6AC6A13C"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3. Universal childcare</w:t>
      </w:r>
    </w:p>
    <w:p w14:paraId="2D7BC19D"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Figures for universal childcare follow the same modelling approach and are included within the same cross-national analysis. Each column represents an independent modelling scenario.</w:t>
      </w:r>
    </w:p>
    <w:p w14:paraId="76EC0EBD" w14:textId="77777777" w:rsidR="009235AD" w:rsidRDefault="516C1E25" w:rsidP="516C1E25">
      <w:pPr>
        <w:spacing w:before="80" w:after="160"/>
        <w:rPr>
          <w:rFonts w:ascii="Aptos Display" w:eastAsia="Aptos Display" w:hAnsi="Aptos Display" w:cs="Aptos Display"/>
          <w:i/>
          <w:iCs/>
          <w:color w:val="555555"/>
          <w:sz w:val="20"/>
          <w:szCs w:val="20"/>
        </w:rPr>
      </w:pPr>
      <w:r w:rsidRPr="516C1E25">
        <w:rPr>
          <w:rFonts w:ascii="Aptos Display" w:eastAsia="Aptos Display" w:hAnsi="Aptos Display" w:cs="Aptos Display"/>
          <w:i/>
          <w:iCs/>
          <w:color w:val="555555"/>
          <w:sz w:val="20"/>
          <w:szCs w:val="20"/>
        </w:rPr>
        <w:t>Projected impacts are modelled in countries currently lacking universal provision, against spending levels in universal systems. Source: Richardson et al., 2026.</w:t>
      </w:r>
    </w:p>
    <w:p w14:paraId="049F31CB"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2A4A7F89"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A commitment every young child deserves</w:t>
      </w:r>
    </w:p>
    <w:p w14:paraId="12E8B10B"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2027 International Financing Summit for Early Childhood is a watershed moment for early childhood, born from a growing recognition that the early years crisis is not just a failure to support children and families at the moment they need it most. It is an economic one, with consequences that compound across generations and cost governments far more to address later than to prevent now.</w:t>
      </w:r>
    </w:p>
    <w:p w14:paraId="0EB1CC2C"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Summit is the moment to turn this evidence into commitment. Governments arriving will be asked to make specific, costed pledges across the three Act For Early Years goals: expanding universal access to quality primary healthcare, scaling quality inclusive preschool, and strengthening family support through child benefits, parental leave, and affordable childcare.</w:t>
      </w:r>
    </w:p>
    <w:p w14:paraId="14F7BD3F"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evidence in this guide shows what those commitments can deliver. A commitment on healthcare reaches children in the first thousand days, when the brain is developing fastest and the cost of inaction is highest. A commitment on preschool reaches every child at the point when quality education has its strongest and most lasting effects. A commitment on family support gives parents the income security and time they need to provide the nurturing care that no government programme can substitute.</w:t>
      </w:r>
    </w:p>
    <w:p w14:paraId="633BFA61"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These are not competing priorities. They are mutually reinforcing investments. The fiscal case for each is strong. The case for all three together is stronger still. Government Ministers who arrive at the Summit with specific, costed commitments across all three goals will not be making a leap of faith. They will be making one of the most well-evidenced spending decisions available to any government.</w:t>
      </w:r>
    </w:p>
    <w:p w14:paraId="1AFC8BD1"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The commitments governments make at the Summit are not one-off pledges. They will be the opening move in a three-year plan, designed to drive measurable progress toward the Sustainable Development Goals by 2030. Each commitment will be specific, costed, and trackable, with accountability mechanisms that keep governments on course between now and that deadline. The Summit is the starting point, not the finish line.</w:t>
      </w:r>
    </w:p>
    <w:p w14:paraId="125E3BB6"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Act For Early Years campaign is calling for at least $1 billion in new funding commitments from governments, international donors, businesses, and philanthropic donors to kickstart that transformation. Every commitment made at the Summit, however large or small, becomes part of a shared accountability journey toward 2030 and a generation of children who get the start in life they deserve.</w:t>
      </w:r>
    </w:p>
    <w:p w14:paraId="53128261" w14:textId="77777777" w:rsidR="009235AD" w:rsidRDefault="009235AD" w:rsidP="516C1E25">
      <w:pPr>
        <w:pBdr>
          <w:bottom w:val="single" w:sz="4" w:space="1" w:color="CCCCCC"/>
        </w:pBdr>
        <w:spacing w:before="200" w:after="200"/>
        <w:rPr>
          <w:rFonts w:ascii="Aptos Display" w:eastAsia="Aptos Display" w:hAnsi="Aptos Display" w:cs="Aptos Display"/>
        </w:rPr>
      </w:pPr>
    </w:p>
    <w:p w14:paraId="617B9B2C" w14:textId="77777777" w:rsidR="009235AD" w:rsidRDefault="516C1E25" w:rsidP="516C1E25">
      <w:pPr>
        <w:pStyle w:val="heading10"/>
        <w:rPr>
          <w:rFonts w:ascii="Aptos Display" w:eastAsia="Aptos Display" w:hAnsi="Aptos Display" w:cs="Aptos Display"/>
        </w:rPr>
      </w:pPr>
      <w:r w:rsidRPr="516C1E25">
        <w:rPr>
          <w:rFonts w:ascii="Aptos Display" w:eastAsia="Aptos Display" w:hAnsi="Aptos Display" w:cs="Aptos Display"/>
        </w:rPr>
        <w:t>Technical annex</w:t>
      </w:r>
    </w:p>
    <w:p w14:paraId="04ED99D2"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This annex presents the full underlying data used to generate the Big Wins matrix, including complete standard deviation ranges, cost ranges, and benefit-cost ratios for each intervention. Midpoint figures used in the matrix are derived by calculating the arithmetic mean of the reported range. Where a single figure is reported in the source literature, that figure is used directly. All figures are drawn from the Big Wins for Early Childhood Development research led by Professor Florencia Lopez Boo, NYU Global TIES for Children, in collaboration with the Act For Early Years Big Wins Expert Research Group.</w:t>
      </w:r>
    </w:p>
    <w:p w14:paraId="0FBB9F49"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Figures presented in the main matrix represent midpoints of reported ranges unless otherwise indicated. Given the width of some ranges, particularly for supplementation and supplementation BCR, midpoints should be interpreted with caution. Full ranges are provided here for reference. Where impact is expressed as a risk ratio rather than a standard deviation, this is noted explicitly and the intervention is represented with a distinct symbol in the matrix rather than the dot system.</w:t>
      </w:r>
    </w:p>
    <w:p w14:paraId="79EE2ACC" w14:textId="77777777" w:rsidR="009235AD" w:rsidRDefault="516C1E25" w:rsidP="516C1E25">
      <w:pPr>
        <w:pStyle w:val="heading20"/>
        <w:rPr>
          <w:rFonts w:ascii="Aptos Display" w:eastAsia="Aptos Display" w:hAnsi="Aptos Display" w:cs="Aptos Display"/>
          <w:lang w:val="en-US"/>
        </w:rPr>
      </w:pPr>
      <w:r w:rsidRPr="516C1E25">
        <w:rPr>
          <w:rFonts w:ascii="Aptos Display" w:eastAsia="Aptos Display" w:hAnsi="Aptos Display" w:cs="Aptos Display"/>
          <w:lang w:val="en-US"/>
        </w:rPr>
        <w:t>How the Big Wins were identified</w:t>
      </w:r>
    </w:p>
    <w:p w14:paraId="4622CDD0"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Big Wins are drawn from a systematic review of 200 studies, building on research conducted in 2023 and 2024 for the Inter-American Development Bank's Early Childhood Sector Framework Document and the Lancet series on the next 1000 days (Nores et al., 2025), and updated with studies published up to December 2025. To qualify, an intervention had to be evaluated at scale, with impact evidence derived from experimental or quasi-experimental methods and cost data reported alongside. Impact is expressed in standard deviations to allow comparison across interventions, using short-run estimates on child development indicators measured at ages zero to five. For preschool, where effects on learning are typically measured in primary school-aged children, and for primary healthcare, where outcomes are reported as risk ratios or disability-adjusted life years averted, the appropriate metric for each intervention type is indicated clearly in the table. Benefit-cost ratios, where reported, express total monetised benefits relative to costs for a given number of children reached.</w:t>
      </w:r>
    </w:p>
    <w:p w14:paraId="17474FAE"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Technical notes on key metrics</w:t>
      </w:r>
    </w:p>
    <w:p w14:paraId="76124AF6"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Standard deviation</w:t>
      </w:r>
    </w:p>
    <w:p w14:paraId="4D0E4E88"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Standard deviation is a measure of effect size used to express the standardised difference in outcomes between children who received an intervention and those who did not. It allows comparison across interventions that measure different outcomes. All SD figures reported here are at-scale estimates unless explicitly noted as pilot. Pilot estimates are excluded from the main matrix dot system but retained in the Best Bets annex for reference.</w:t>
      </w:r>
    </w:p>
    <w:p w14:paraId="4300D895"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Risk ratio</w:t>
      </w:r>
    </w:p>
    <w:p w14:paraId="08DED075"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Risk ratio expresses the probability of an outcome occurring in an intervention group relative to a control group. A risk ratio below 1.0 indicates a protective effect. Risk ratios cannot be directly converted to standard deviations without baseline prevalence data, and are therefore represented with a distinct symbol in the matrix rather than the dot system.</w:t>
      </w:r>
    </w:p>
    <w:p w14:paraId="2F201B98"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Benefit-cost ratio</w:t>
      </w:r>
    </w:p>
    <w:p w14:paraId="3FAC6FC1"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benefit-cost ratio expresses the total monetised benefits of an intervention relative to its costs. A BCR of 15 indicates that $15 in benefits is generated for every $1 invested. BCRs presented in the matrix are derived from the midpoint of reported ranges. Where a single BCR figure is reported, that figure is used directly. BCRs are not available for all interventions; where not reported, the return on investment column is left blank. The wide BCR range for supplementation (1.5 to 48) reflects significant variation in programme type, delivery context, and outcome measurement across the underlying studies, and the midpoint of $24.75 should be interpreted with particular caution.</w:t>
      </w:r>
    </w:p>
    <w:p w14:paraId="6ECE5313"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How the cost of doing nothing data was calculated</w:t>
      </w:r>
    </w:p>
    <w:p w14:paraId="697B57A4"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The cost of inaction is defined as the difference between the present value of the potential economic benefits of an early childhood intervention and the costs of delivering it, applied to the number of children not yet covered. Benefits are drawn from rigorous causal evaluations and focus primarily on long-term labour market returns, meaning estimates are conservative as benefits that are difficult to monetise, such as reductions in crime and improvements in maternal mental health, are excluded. Costs are modelled to reflect the quality of provision required, and for preschool and home visiting programmes the analysis incorporates recent causal evidence on the impact of quality on outcomes. Given their forward-looking nature, estimates are sensitive to assumptions about income growth trajectories and causal attribution, and sensitivity analyses have been conducted accordingly.</w:t>
      </w:r>
    </w:p>
    <w:p w14:paraId="0C5CF696"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Full data table: Big Wins</w:t>
      </w:r>
    </w:p>
    <w:p w14:paraId="78356BAD"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1: Primary health care</w:t>
      </w:r>
    </w:p>
    <w:p w14:paraId="6DFB394B" w14:textId="77777777" w:rsidR="009235AD" w:rsidRDefault="516C1E25" w:rsidP="516C1E25">
      <w:pPr>
        <w:spacing w:after="160"/>
        <w:rPr>
          <w:rFonts w:ascii="Aptos Display" w:eastAsia="Aptos Display" w:hAnsi="Aptos Display" w:cs="Aptos Display"/>
          <w:b/>
          <w:bCs/>
          <w:lang w:val="en-US"/>
        </w:rPr>
      </w:pPr>
      <w:r w:rsidRPr="516C1E25">
        <w:rPr>
          <w:rFonts w:ascii="Aptos Display" w:eastAsia="Aptos Display" w:hAnsi="Aptos Display" w:cs="Aptos Display"/>
          <w:b/>
          <w:bCs/>
          <w:lang w:val="en-US"/>
        </w:rPr>
        <w:t>Immunisations</w:t>
      </w:r>
    </w:p>
    <w:p w14:paraId="752BBC59"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Administration of recommended full schedule of vaccines for young children.</w:t>
      </w:r>
    </w:p>
    <w:p w14:paraId="4C8A39D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RR: 0.48 to 0.94 (no SD available; impact measured as risk ratio)</w:t>
      </w:r>
    </w:p>
    <w:p w14:paraId="5CBE187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N/A (risk ratio)</w:t>
      </w:r>
    </w:p>
    <w:p w14:paraId="320C20A4"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$46 to $130 per child per year</w:t>
      </w:r>
    </w:p>
    <w:p w14:paraId="65F3E05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$88 per child per year</w:t>
      </w:r>
    </w:p>
    <w:p w14:paraId="66238E7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Not reported</w:t>
      </w:r>
    </w:p>
    <w:p w14:paraId="47AB0107"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N/A</w:t>
      </w:r>
    </w:p>
    <w:p w14:paraId="62486C05" w14:textId="77777777" w:rsidR="009235AD" w:rsidRDefault="009235AD" w:rsidP="516C1E25">
      <w:pPr>
        <w:spacing w:after="160"/>
        <w:rPr>
          <w:rFonts w:ascii="Aptos Display" w:eastAsia="Aptos Display" w:hAnsi="Aptos Display" w:cs="Aptos Display"/>
        </w:rPr>
      </w:pPr>
    </w:p>
    <w:p w14:paraId="6F52575C"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Nutritional Support</w:t>
      </w:r>
    </w:p>
    <w:p w14:paraId="1922118A"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Essential nutrients for children from birth to 36 months.</w:t>
      </w:r>
    </w:p>
    <w:p w14:paraId="3F47E4AC"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0.20 to 0.50 SD</w:t>
      </w:r>
    </w:p>
    <w:p w14:paraId="0CD83CB3"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0.35 SD</w:t>
      </w:r>
    </w:p>
    <w:p w14:paraId="75ABE578"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$46 to $94 per child per year</w:t>
      </w:r>
    </w:p>
    <w:p w14:paraId="06F286D9"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$70 per child per year</w:t>
      </w:r>
    </w:p>
    <w:p w14:paraId="3C0283AC"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$1.50 to $48</w:t>
      </w:r>
    </w:p>
    <w:p w14:paraId="66A9EA39"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$24.75 midpoint BCR (interpret with caution given wide range)</w:t>
      </w:r>
    </w:p>
    <w:p w14:paraId="4101652C" w14:textId="77777777" w:rsidR="009235AD" w:rsidRDefault="009235AD" w:rsidP="516C1E25">
      <w:pPr>
        <w:spacing w:after="160"/>
        <w:rPr>
          <w:rFonts w:ascii="Aptos Display" w:eastAsia="Aptos Display" w:hAnsi="Aptos Display" w:cs="Aptos Display"/>
        </w:rPr>
      </w:pPr>
    </w:p>
    <w:p w14:paraId="2FF96380"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2: Early learning and preschool</w:t>
      </w:r>
    </w:p>
    <w:p w14:paraId="0779AA8F"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Preschool</w:t>
      </w:r>
    </w:p>
    <w:p w14:paraId="74EB8130"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Quality early education and care for children aged three to school age.</w:t>
      </w:r>
    </w:p>
    <w:p w14:paraId="37FD73B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0.16 to 0.34 SD (impacts on test scores in grades 3 and 4, not a child development indicator at ages 0 to 5)</w:t>
      </w:r>
    </w:p>
    <w:p w14:paraId="32F50891"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0.25 SD</w:t>
      </w:r>
    </w:p>
    <w:p w14:paraId="7D485DC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$76.83 to $2,950 per child per year</w:t>
      </w:r>
    </w:p>
    <w:p w14:paraId="64E31C7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Single figure; per child per year</w:t>
      </w:r>
    </w:p>
    <w:p w14:paraId="7E0E0FE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$4.75 to $19.40</w:t>
      </w:r>
    </w:p>
    <w:p w14:paraId="58FD4B3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$12.20 midpoint BCR</w:t>
      </w:r>
    </w:p>
    <w:p w14:paraId="4B99056E" w14:textId="77777777" w:rsidR="009235AD" w:rsidRDefault="009235AD" w:rsidP="516C1E25">
      <w:pPr>
        <w:spacing w:after="160"/>
        <w:rPr>
          <w:rFonts w:ascii="Aptos Display" w:eastAsia="Aptos Display" w:hAnsi="Aptos Display" w:cs="Aptos Display"/>
        </w:rPr>
      </w:pPr>
    </w:p>
    <w:p w14:paraId="2F0AE42E"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Childcare</w:t>
      </w:r>
    </w:p>
    <w:p w14:paraId="4F80D715"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Centre-based care and learning for children aged zero to three, supporting child development and parental employment.</w:t>
      </w:r>
    </w:p>
    <w:p w14:paraId="799B9D4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0.19 to 0.38 SD (at-scale estimates only; mixed or negative effects reported in some high-income country studies)</w:t>
      </w:r>
    </w:p>
    <w:p w14:paraId="5B18791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0.29 SD</w:t>
      </w:r>
    </w:p>
    <w:p w14:paraId="0659398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$147 to $2,350 per child per year (at scale)</w:t>
      </w:r>
    </w:p>
    <w:p w14:paraId="73A027C9"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$331.50 per child per year</w:t>
      </w:r>
    </w:p>
    <w:p w14:paraId="1DB3DA9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$1.70 to $6.20</w:t>
      </w:r>
    </w:p>
    <w:p w14:paraId="0B621C91"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$3.95 midpoint BCR</w:t>
      </w:r>
    </w:p>
    <w:p w14:paraId="1299C43A" w14:textId="77777777" w:rsidR="009235AD" w:rsidRDefault="009235AD" w:rsidP="516C1E25">
      <w:pPr>
        <w:spacing w:after="160"/>
        <w:rPr>
          <w:rFonts w:ascii="Aptos Display" w:eastAsia="Aptos Display" w:hAnsi="Aptos Display" w:cs="Aptos Display"/>
        </w:rPr>
      </w:pPr>
    </w:p>
    <w:p w14:paraId="0315F3A8"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3: Universal support for families</w:t>
      </w:r>
    </w:p>
    <w:p w14:paraId="45504788"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 and Caregiver Coaching</w:t>
      </w:r>
    </w:p>
    <w:p w14:paraId="35884838"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Supporting parents and caregivers at home to improve nurturing practices and play.</w:t>
      </w:r>
    </w:p>
    <w:p w14:paraId="21FF45BC"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0.10 to 0.26 SD at scale (pilot estimates: 0.32 to 1.1 SD)</w:t>
      </w:r>
    </w:p>
    <w:p w14:paraId="7423755D"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0.18 SD (at scale)</w:t>
      </w:r>
    </w:p>
    <w:p w14:paraId="5513D39A"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$100 to $500 per child per year (at scale); $135 to $751.60 (pilot only)</w:t>
      </w:r>
    </w:p>
    <w:p w14:paraId="445E4089"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$300 per child per year (at scale)</w:t>
      </w:r>
    </w:p>
    <w:p w14:paraId="116CC337"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$5 to $5.40</w:t>
      </w:r>
    </w:p>
    <w:p w14:paraId="02841638"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$5.20 midpoint BCR</w:t>
      </w:r>
    </w:p>
    <w:p w14:paraId="4DDBEF00" w14:textId="77777777" w:rsidR="009235AD" w:rsidRDefault="009235AD" w:rsidP="516C1E25">
      <w:pPr>
        <w:spacing w:after="160"/>
        <w:rPr>
          <w:rFonts w:ascii="Aptos Display" w:eastAsia="Aptos Display" w:hAnsi="Aptos Display" w:cs="Aptos Display"/>
        </w:rPr>
      </w:pPr>
    </w:p>
    <w:p w14:paraId="14B0F7C7"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Cash Transfers</w:t>
      </w:r>
    </w:p>
    <w:p w14:paraId="1BCC5D2E"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Direct payments to families to strengthen household income and improve access to services.</w:t>
      </w:r>
    </w:p>
    <w:p w14:paraId="57DF02FD" w14:textId="77777777" w:rsidR="009235AD"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SD range: </w:t>
      </w:r>
      <w:r w:rsidRPr="516C1E25">
        <w:rPr>
          <w:rFonts w:ascii="Aptos Display" w:eastAsia="Aptos Display" w:hAnsi="Aptos Display" w:cs="Aptos Display"/>
          <w:lang w:val="en-US"/>
        </w:rPr>
        <w:t>0.10 to 0.18 SD (at-scale programmes only)</w:t>
      </w:r>
    </w:p>
    <w:p w14:paraId="5B7E4C53"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0.14 SD</w:t>
      </w:r>
    </w:p>
    <w:p w14:paraId="0518DBB7"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$10 to $20 per child per year</w:t>
      </w:r>
    </w:p>
    <w:p w14:paraId="0F83E093"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$15 per child per year (transfer midpoint; delivery costs not included)</w:t>
      </w:r>
    </w:p>
    <w:p w14:paraId="30FDBF74"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$18.60</w:t>
      </w:r>
    </w:p>
    <w:p w14:paraId="70C897B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N/A (BCR not reported separately)</w:t>
      </w:r>
    </w:p>
    <w:p w14:paraId="3461D779" w14:textId="77777777" w:rsidR="009235AD" w:rsidRDefault="009235AD" w:rsidP="516C1E25">
      <w:pPr>
        <w:spacing w:after="160"/>
        <w:rPr>
          <w:rFonts w:ascii="Aptos Display" w:eastAsia="Aptos Display" w:hAnsi="Aptos Display" w:cs="Aptos Display"/>
        </w:rPr>
      </w:pPr>
    </w:p>
    <w:p w14:paraId="2BD92341"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In-person and Virtual Support for Parents and Caregivers</w:t>
      </w:r>
    </w:p>
    <w:p w14:paraId="500BC75F"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Flexible combinations of in-person and virtual support for parents and caregivers.</w:t>
      </w:r>
    </w:p>
    <w:p w14:paraId="1F191FA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 to 0.34 SD</w:t>
      </w:r>
    </w:p>
    <w:p w14:paraId="25D05E3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0.25 SD</w:t>
      </w:r>
    </w:p>
    <w:p w14:paraId="2AE93B9C"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$245.79 per child per year (single figure)</w:t>
      </w:r>
    </w:p>
    <w:p w14:paraId="1C5E79F0"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midpoint: </w:t>
      </w:r>
      <w:r w:rsidRPr="516C1E25">
        <w:rPr>
          <w:rFonts w:ascii="Aptos Display" w:eastAsia="Aptos Display" w:hAnsi="Aptos Display" w:cs="Aptos Display"/>
        </w:rPr>
        <w:t>$245.79 per child per year</w:t>
      </w:r>
    </w:p>
    <w:p w14:paraId="2A2C8066"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BCR range: </w:t>
      </w:r>
      <w:r w:rsidRPr="516C1E25">
        <w:rPr>
          <w:rFonts w:ascii="Aptos Display" w:eastAsia="Aptos Display" w:hAnsi="Aptos Display" w:cs="Aptos Display"/>
        </w:rPr>
        <w:t>$12.30 (single figure)</w:t>
      </w:r>
    </w:p>
    <w:p w14:paraId="720A8B3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Return per $1 invested: </w:t>
      </w:r>
      <w:r w:rsidRPr="516C1E25">
        <w:rPr>
          <w:rFonts w:ascii="Aptos Display" w:eastAsia="Aptos Display" w:hAnsi="Aptos Display" w:cs="Aptos Display"/>
        </w:rPr>
        <w:t>$12.30</w:t>
      </w:r>
    </w:p>
    <w:p w14:paraId="3CF2D8B6" w14:textId="77777777" w:rsidR="009235AD" w:rsidRDefault="009235AD" w:rsidP="516C1E25">
      <w:pPr>
        <w:spacing w:after="160"/>
        <w:rPr>
          <w:rFonts w:ascii="Aptos Display" w:eastAsia="Aptos Display" w:hAnsi="Aptos Display" w:cs="Aptos Display"/>
        </w:rPr>
      </w:pPr>
    </w:p>
    <w:p w14:paraId="33E36CD3" w14:textId="77777777" w:rsidR="009235AD" w:rsidRDefault="516C1E25" w:rsidP="516C1E25">
      <w:pPr>
        <w:pStyle w:val="heading20"/>
        <w:rPr>
          <w:rFonts w:ascii="Aptos Display" w:eastAsia="Aptos Display" w:hAnsi="Aptos Display" w:cs="Aptos Display"/>
        </w:rPr>
      </w:pPr>
      <w:r w:rsidRPr="516C1E25">
        <w:rPr>
          <w:rFonts w:ascii="Aptos Display" w:eastAsia="Aptos Display" w:hAnsi="Aptos Display" w:cs="Aptos Display"/>
        </w:rPr>
        <w:t>Full data table: Best Bets</w:t>
      </w:r>
    </w:p>
    <w:p w14:paraId="1F3AC392"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1: Primary health care</w:t>
      </w:r>
    </w:p>
    <w:p w14:paraId="34EA7294"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Growth Monitoring</w:t>
      </w:r>
    </w:p>
    <w:p w14:paraId="2AF808F1" w14:textId="77777777" w:rsidR="009235AD" w:rsidRDefault="516C1E25" w:rsidP="516C1E25">
      <w:pPr>
        <w:spacing w:after="160"/>
        <w:rPr>
          <w:rFonts w:ascii="Aptos Display" w:eastAsia="Aptos Display" w:hAnsi="Aptos Display" w:cs="Aptos Display"/>
          <w:lang w:val="en-US"/>
        </w:rPr>
      </w:pPr>
      <w:r w:rsidRPr="516C1E25">
        <w:rPr>
          <w:rFonts w:ascii="Aptos Display" w:eastAsia="Aptos Display" w:hAnsi="Aptos Display" w:cs="Aptos Display"/>
          <w:lang w:val="en-US"/>
        </w:rPr>
        <w:t>Regular tracking of weight, height, and development to identify health concerns early.</w:t>
      </w:r>
    </w:p>
    <w:p w14:paraId="31383E4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data: </w:t>
      </w:r>
      <w:r w:rsidRPr="516C1E25">
        <w:rPr>
          <w:rFonts w:ascii="Aptos Display" w:eastAsia="Aptos Display" w:hAnsi="Aptos Display" w:cs="Aptos Display"/>
        </w:rPr>
        <w:t>No SD data available</w:t>
      </w:r>
    </w:p>
    <w:p w14:paraId="2B8B389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Risk ratio midpoint: </w:t>
      </w:r>
      <w:r w:rsidRPr="516C1E25">
        <w:rPr>
          <w:rFonts w:ascii="Aptos Display" w:eastAsia="Aptos Display" w:hAnsi="Aptos Display" w:cs="Aptos Display"/>
        </w:rPr>
        <w:t>0.66 (34% lower risk at midpoint)</w:t>
      </w:r>
    </w:p>
    <w:p w14:paraId="327B45A9"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range: </w:t>
      </w:r>
      <w:r w:rsidRPr="516C1E25">
        <w:rPr>
          <w:rFonts w:ascii="Aptos Display" w:eastAsia="Aptos Display" w:hAnsi="Aptos Display" w:cs="Aptos Display"/>
        </w:rPr>
        <w:t>$0.96 to $2.32 per person, total population basis</w:t>
      </w:r>
    </w:p>
    <w:p w14:paraId="2B2DAC7F"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Notes: </w:t>
      </w:r>
      <w:r w:rsidRPr="516C1E25">
        <w:rPr>
          <w:rFonts w:ascii="Aptos Display" w:eastAsia="Aptos Display" w:hAnsi="Aptos Display" w:cs="Aptos Display"/>
        </w:rPr>
        <w:t>Insufficient impact data to include in dot system. Impact measured as risk ratio; not directly comparable to SD scale.</w:t>
      </w:r>
    </w:p>
    <w:p w14:paraId="0FB78278" w14:textId="77777777" w:rsidR="009235AD" w:rsidRDefault="009235AD" w:rsidP="516C1E25">
      <w:pPr>
        <w:spacing w:after="160"/>
        <w:rPr>
          <w:rFonts w:ascii="Aptos Display" w:eastAsia="Aptos Display" w:hAnsi="Aptos Display" w:cs="Aptos Display"/>
        </w:rPr>
      </w:pPr>
    </w:p>
    <w:p w14:paraId="558285A4"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Antenatal Care</w:t>
      </w:r>
    </w:p>
    <w:p w14:paraId="14CEFC7B"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Essential health checks and support for pregnant women for a safe pregnancy and healthy birth.</w:t>
      </w:r>
    </w:p>
    <w:p w14:paraId="6CCD2AE2"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data: </w:t>
      </w:r>
      <w:r w:rsidRPr="516C1E25">
        <w:rPr>
          <w:rFonts w:ascii="Aptos Display" w:eastAsia="Aptos Display" w:hAnsi="Aptos Display" w:cs="Aptos Display"/>
        </w:rPr>
        <w:t>No SD available</w:t>
      </w:r>
    </w:p>
    <w:p w14:paraId="7C67B98D"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Notes: </w:t>
      </w:r>
      <w:r w:rsidRPr="516C1E25">
        <w:rPr>
          <w:rFonts w:ascii="Aptos Display" w:eastAsia="Aptos Display" w:hAnsi="Aptos Display" w:cs="Aptos Display"/>
        </w:rPr>
        <w:t>Classified as Best Bet pending further at-scale evidence.</w:t>
      </w:r>
    </w:p>
    <w:p w14:paraId="1FC39945" w14:textId="77777777" w:rsidR="009235AD" w:rsidRDefault="009235AD" w:rsidP="516C1E25">
      <w:pPr>
        <w:spacing w:after="160"/>
        <w:rPr>
          <w:rFonts w:ascii="Aptos Display" w:eastAsia="Aptos Display" w:hAnsi="Aptos Display" w:cs="Aptos Display"/>
        </w:rPr>
      </w:pPr>
    </w:p>
    <w:p w14:paraId="4D226E42" w14:textId="77777777" w:rsidR="009235AD" w:rsidRDefault="516C1E25" w:rsidP="516C1E25">
      <w:pPr>
        <w:pStyle w:val="heading30"/>
        <w:rPr>
          <w:rFonts w:ascii="Aptos Display" w:eastAsia="Aptos Display" w:hAnsi="Aptos Display" w:cs="Aptos Display"/>
        </w:rPr>
      </w:pPr>
      <w:r w:rsidRPr="516C1E25">
        <w:rPr>
          <w:rFonts w:ascii="Aptos Display" w:eastAsia="Aptos Display" w:hAnsi="Aptos Display" w:cs="Aptos Display"/>
        </w:rPr>
        <w:t>Goal 3: Universal support for families</w:t>
      </w:r>
    </w:p>
    <w:p w14:paraId="74246323"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Parental Leave</w:t>
      </w:r>
    </w:p>
    <w:p w14:paraId="780D3499"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Paid, job-protected time off for parents following birth or adoption of a child.</w:t>
      </w:r>
    </w:p>
    <w:p w14:paraId="3360370A"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0.24 SD (single estimate); 0 to 1.3 SD</w:t>
      </w:r>
    </w:p>
    <w:p w14:paraId="7E665757"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midpoint: </w:t>
      </w:r>
      <w:r w:rsidRPr="516C1E25">
        <w:rPr>
          <w:rFonts w:ascii="Aptos Display" w:eastAsia="Aptos Display" w:hAnsi="Aptos Display" w:cs="Aptos Display"/>
        </w:rPr>
        <w:t>0.24 SD; 0.65 SD (pilot midpoint only; no at-scale data)</w:t>
      </w:r>
    </w:p>
    <w:p w14:paraId="1E90D335"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w:t>
      </w:r>
      <w:r w:rsidRPr="516C1E25">
        <w:rPr>
          <w:rFonts w:ascii="Aptos Display" w:eastAsia="Aptos Display" w:hAnsi="Aptos Display" w:cs="Aptos Display"/>
        </w:rPr>
        <w:t>$1,278 per child per year</w:t>
      </w:r>
    </w:p>
    <w:p w14:paraId="79181CA4"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Notes: </w:t>
      </w:r>
      <w:r w:rsidRPr="516C1E25">
        <w:rPr>
          <w:rFonts w:ascii="Aptos Display" w:eastAsia="Aptos Display" w:hAnsi="Aptos Display" w:cs="Aptos Display"/>
        </w:rPr>
        <w:t>Single study estimate. Classified as Best Bet pending further at-scale evidence.</w:t>
      </w:r>
    </w:p>
    <w:p w14:paraId="0562CB0E" w14:textId="77777777" w:rsidR="009235AD" w:rsidRDefault="009235AD" w:rsidP="516C1E25">
      <w:pPr>
        <w:spacing w:after="160"/>
        <w:rPr>
          <w:rFonts w:ascii="Aptos Display" w:eastAsia="Aptos Display" w:hAnsi="Aptos Display" w:cs="Aptos Display"/>
        </w:rPr>
      </w:pPr>
    </w:p>
    <w:p w14:paraId="1B5C2C98" w14:textId="77777777" w:rsidR="009235AD" w:rsidRDefault="516C1E25" w:rsidP="516C1E25">
      <w:pPr>
        <w:spacing w:after="160"/>
        <w:rPr>
          <w:rFonts w:ascii="Aptos Display" w:eastAsia="Aptos Display" w:hAnsi="Aptos Display" w:cs="Aptos Display"/>
          <w:b/>
          <w:bCs/>
        </w:rPr>
      </w:pPr>
      <w:r w:rsidRPr="516C1E25">
        <w:rPr>
          <w:rFonts w:ascii="Aptos Display" w:eastAsia="Aptos Display" w:hAnsi="Aptos Display" w:cs="Aptos Display"/>
          <w:b/>
          <w:bCs/>
        </w:rPr>
        <w:t>Parenting Groups</w:t>
      </w:r>
    </w:p>
    <w:p w14:paraId="11AB7F63" w14:textId="77777777" w:rsidR="009235AD" w:rsidRDefault="516C1E25" w:rsidP="516C1E25">
      <w:pPr>
        <w:spacing w:after="160"/>
        <w:rPr>
          <w:rFonts w:ascii="Aptos Display" w:eastAsia="Aptos Display" w:hAnsi="Aptos Display" w:cs="Aptos Display"/>
        </w:rPr>
      </w:pPr>
      <w:r w:rsidRPr="516C1E25">
        <w:rPr>
          <w:rFonts w:ascii="Aptos Display" w:eastAsia="Aptos Display" w:hAnsi="Aptos Display" w:cs="Aptos Display"/>
        </w:rPr>
        <w:t>Group sessions supporting parents and caregivers to strengthen nurturing practices at home.</w:t>
      </w:r>
    </w:p>
    <w:p w14:paraId="0CFBD5EB"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SD range: </w:t>
      </w:r>
      <w:r w:rsidRPr="516C1E25">
        <w:rPr>
          <w:rFonts w:ascii="Aptos Display" w:eastAsia="Aptos Display" w:hAnsi="Aptos Display" w:cs="Aptos Display"/>
        </w:rPr>
        <w:t>0 to 1.3 SD (pilot estimates only)</w:t>
      </w:r>
    </w:p>
    <w:p w14:paraId="6B149428" w14:textId="77777777" w:rsidR="009235AD" w:rsidRDefault="516C1E25" w:rsidP="516C1E25">
      <w:pPr>
        <w:spacing w:after="80"/>
        <w:rPr>
          <w:rFonts w:ascii="Aptos Display" w:eastAsia="Aptos Display" w:hAnsi="Aptos Display" w:cs="Aptos Display"/>
        </w:rPr>
      </w:pPr>
      <w:r w:rsidRPr="516C1E25">
        <w:rPr>
          <w:rFonts w:ascii="Aptos Display" w:eastAsia="Aptos Display" w:hAnsi="Aptos Display" w:cs="Aptos Display"/>
          <w:b/>
          <w:bCs/>
        </w:rPr>
        <w:t xml:space="preserve">Cost: </w:t>
      </w:r>
      <w:r w:rsidRPr="516C1E25">
        <w:rPr>
          <w:rFonts w:ascii="Aptos Display" w:eastAsia="Aptos Display" w:hAnsi="Aptos Display" w:cs="Aptos Display"/>
        </w:rPr>
        <w:t>$38 per child per year (pilot only)</w:t>
      </w:r>
    </w:p>
    <w:p w14:paraId="5BA278AB" w14:textId="3B205276" w:rsidR="009235AD" w:rsidRPr="006B5418" w:rsidRDefault="516C1E25" w:rsidP="516C1E25">
      <w:pPr>
        <w:spacing w:after="80"/>
        <w:rPr>
          <w:rFonts w:ascii="Aptos Display" w:eastAsia="Aptos Display" w:hAnsi="Aptos Display" w:cs="Aptos Display"/>
          <w:lang w:val="en-US"/>
        </w:rPr>
      </w:pPr>
      <w:r w:rsidRPr="516C1E25">
        <w:rPr>
          <w:rFonts w:ascii="Aptos Display" w:eastAsia="Aptos Display" w:hAnsi="Aptos Display" w:cs="Aptos Display"/>
          <w:b/>
          <w:bCs/>
          <w:lang w:val="en-US"/>
        </w:rPr>
        <w:t xml:space="preserve">Notes: </w:t>
      </w:r>
      <w:r w:rsidRPr="516C1E25">
        <w:rPr>
          <w:rFonts w:ascii="Aptos Display" w:eastAsia="Aptos Display" w:hAnsi="Aptos Display" w:cs="Aptos Display"/>
          <w:lang w:val="en-US"/>
        </w:rPr>
        <w:t>Pilot evidence only. Wide SD range reflects variation across programme models.</w:t>
      </w:r>
    </w:p>
    <w:sectPr w:rsidR="009235AD" w:rsidRPr="006B541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A5710"/>
    <w:multiLevelType w:val="hybridMultilevel"/>
    <w:tmpl w:val="80ACAF84"/>
    <w:lvl w:ilvl="0" w:tplc="DBC2446C">
      <w:start w:val="1"/>
      <w:numFmt w:val="bullet"/>
      <w:lvlText w:val="•"/>
      <w:lvlJc w:val="left"/>
      <w:pPr>
        <w:ind w:left="720" w:hanging="360"/>
      </w:pPr>
    </w:lvl>
    <w:lvl w:ilvl="1" w:tplc="6B949EA2">
      <w:numFmt w:val="decimal"/>
      <w:lvlText w:val=""/>
      <w:lvlJc w:val="left"/>
    </w:lvl>
    <w:lvl w:ilvl="2" w:tplc="55B43FB6">
      <w:numFmt w:val="decimal"/>
      <w:lvlText w:val=""/>
      <w:lvlJc w:val="left"/>
    </w:lvl>
    <w:lvl w:ilvl="3" w:tplc="7C7AD088">
      <w:numFmt w:val="decimal"/>
      <w:lvlText w:val=""/>
      <w:lvlJc w:val="left"/>
    </w:lvl>
    <w:lvl w:ilvl="4" w:tplc="824642FE">
      <w:numFmt w:val="decimal"/>
      <w:lvlText w:val=""/>
      <w:lvlJc w:val="left"/>
    </w:lvl>
    <w:lvl w:ilvl="5" w:tplc="7FCC3020">
      <w:numFmt w:val="decimal"/>
      <w:lvlText w:val=""/>
      <w:lvlJc w:val="left"/>
    </w:lvl>
    <w:lvl w:ilvl="6" w:tplc="B944F204">
      <w:numFmt w:val="decimal"/>
      <w:lvlText w:val=""/>
      <w:lvlJc w:val="left"/>
    </w:lvl>
    <w:lvl w:ilvl="7" w:tplc="0512DAAE">
      <w:numFmt w:val="decimal"/>
      <w:lvlText w:val=""/>
      <w:lvlJc w:val="left"/>
    </w:lvl>
    <w:lvl w:ilvl="8" w:tplc="E6A4C800">
      <w:numFmt w:val="decimal"/>
      <w:lvlText w:val=""/>
      <w:lvlJc w:val="left"/>
    </w:lvl>
  </w:abstractNum>
  <w:abstractNum w:abstractNumId="1" w15:restartNumberingAfterBreak="0">
    <w:nsid w:val="440A661B"/>
    <w:multiLevelType w:val="hybridMultilevel"/>
    <w:tmpl w:val="65B66B94"/>
    <w:lvl w:ilvl="0" w:tplc="6A0A8B1E">
      <w:start w:val="1"/>
      <w:numFmt w:val="bullet"/>
      <w:lvlText w:val="●"/>
      <w:lvlJc w:val="left"/>
      <w:pPr>
        <w:ind w:left="720" w:hanging="360"/>
      </w:pPr>
    </w:lvl>
    <w:lvl w:ilvl="1" w:tplc="A4E21D3A">
      <w:start w:val="1"/>
      <w:numFmt w:val="bullet"/>
      <w:lvlText w:val="○"/>
      <w:lvlJc w:val="left"/>
      <w:pPr>
        <w:ind w:left="1440" w:hanging="360"/>
      </w:pPr>
    </w:lvl>
    <w:lvl w:ilvl="2" w:tplc="A5CADD78">
      <w:start w:val="1"/>
      <w:numFmt w:val="bullet"/>
      <w:lvlText w:val="■"/>
      <w:lvlJc w:val="left"/>
      <w:pPr>
        <w:ind w:left="2160" w:hanging="360"/>
      </w:pPr>
    </w:lvl>
    <w:lvl w:ilvl="3" w:tplc="C2D4CD04">
      <w:start w:val="1"/>
      <w:numFmt w:val="bullet"/>
      <w:lvlText w:val="●"/>
      <w:lvlJc w:val="left"/>
      <w:pPr>
        <w:ind w:left="2880" w:hanging="360"/>
      </w:pPr>
    </w:lvl>
    <w:lvl w:ilvl="4" w:tplc="C6D8FD32">
      <w:start w:val="1"/>
      <w:numFmt w:val="bullet"/>
      <w:lvlText w:val="○"/>
      <w:lvlJc w:val="left"/>
      <w:pPr>
        <w:ind w:left="3600" w:hanging="360"/>
      </w:pPr>
    </w:lvl>
    <w:lvl w:ilvl="5" w:tplc="24AA17D2">
      <w:start w:val="1"/>
      <w:numFmt w:val="bullet"/>
      <w:lvlText w:val="■"/>
      <w:lvlJc w:val="left"/>
      <w:pPr>
        <w:ind w:left="4320" w:hanging="360"/>
      </w:pPr>
    </w:lvl>
    <w:lvl w:ilvl="6" w:tplc="4C769A76">
      <w:start w:val="1"/>
      <w:numFmt w:val="bullet"/>
      <w:lvlText w:val="●"/>
      <w:lvlJc w:val="left"/>
      <w:pPr>
        <w:ind w:left="5040" w:hanging="360"/>
      </w:pPr>
    </w:lvl>
    <w:lvl w:ilvl="7" w:tplc="49A0D0E8">
      <w:start w:val="1"/>
      <w:numFmt w:val="bullet"/>
      <w:lvlText w:val="●"/>
      <w:lvlJc w:val="left"/>
      <w:pPr>
        <w:ind w:left="5760" w:hanging="360"/>
      </w:pPr>
    </w:lvl>
    <w:lvl w:ilvl="8" w:tplc="E334E46A">
      <w:start w:val="1"/>
      <w:numFmt w:val="bullet"/>
      <w:lvlText w:val="●"/>
      <w:lvlJc w:val="left"/>
      <w:pPr>
        <w:ind w:left="6480" w:hanging="360"/>
      </w:pPr>
    </w:lvl>
  </w:abstractNum>
  <w:abstractNum w:abstractNumId="2" w15:restartNumberingAfterBreak="0">
    <w:nsid w:val="4C55A268"/>
    <w:multiLevelType w:val="hybridMultilevel"/>
    <w:tmpl w:val="8AEAA996"/>
    <w:lvl w:ilvl="0" w:tplc="770C9FBE">
      <w:start w:val="1"/>
      <w:numFmt w:val="decimal"/>
      <w:lvlText w:val="%1."/>
      <w:lvlJc w:val="left"/>
      <w:pPr>
        <w:ind w:left="720" w:hanging="360"/>
      </w:pPr>
    </w:lvl>
    <w:lvl w:ilvl="1" w:tplc="E23A666E">
      <w:numFmt w:val="decimal"/>
      <w:lvlText w:val=""/>
      <w:lvlJc w:val="left"/>
    </w:lvl>
    <w:lvl w:ilvl="2" w:tplc="055AA4B6">
      <w:numFmt w:val="decimal"/>
      <w:lvlText w:val=""/>
      <w:lvlJc w:val="left"/>
    </w:lvl>
    <w:lvl w:ilvl="3" w:tplc="84D0C87A">
      <w:numFmt w:val="decimal"/>
      <w:lvlText w:val=""/>
      <w:lvlJc w:val="left"/>
    </w:lvl>
    <w:lvl w:ilvl="4" w:tplc="A260C726">
      <w:numFmt w:val="decimal"/>
      <w:lvlText w:val=""/>
      <w:lvlJc w:val="left"/>
    </w:lvl>
    <w:lvl w:ilvl="5" w:tplc="8F2ABA76">
      <w:numFmt w:val="decimal"/>
      <w:lvlText w:val=""/>
      <w:lvlJc w:val="left"/>
    </w:lvl>
    <w:lvl w:ilvl="6" w:tplc="F42CE094">
      <w:numFmt w:val="decimal"/>
      <w:lvlText w:val=""/>
      <w:lvlJc w:val="left"/>
    </w:lvl>
    <w:lvl w:ilvl="7" w:tplc="0CD83AF6">
      <w:numFmt w:val="decimal"/>
      <w:lvlText w:val=""/>
      <w:lvlJc w:val="left"/>
    </w:lvl>
    <w:lvl w:ilvl="8" w:tplc="58AA0A58">
      <w:numFmt w:val="decimal"/>
      <w:lvlText w:val=""/>
      <w:lvlJc w:val="left"/>
    </w:lvl>
  </w:abstractNum>
  <w:num w:numId="1" w16cid:durableId="1378436839">
    <w:abstractNumId w:val="1"/>
    <w:lvlOverride w:ilvl="0">
      <w:startOverride w:val="1"/>
    </w:lvlOverride>
  </w:num>
  <w:num w:numId="2" w16cid:durableId="16942583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6C1E25"/>
    <w:rsid w:val="00037E93"/>
    <w:rsid w:val="006B5418"/>
    <w:rsid w:val="00772D6D"/>
    <w:rsid w:val="008C4E73"/>
    <w:rsid w:val="0091478A"/>
    <w:rsid w:val="009235AD"/>
    <w:rsid w:val="0098391A"/>
    <w:rsid w:val="009F676B"/>
    <w:rsid w:val="00B92173"/>
    <w:rsid w:val="00D74992"/>
    <w:rsid w:val="00EA1485"/>
    <w:rsid w:val="0899D812"/>
    <w:rsid w:val="17BB7605"/>
    <w:rsid w:val="24D3DABE"/>
    <w:rsid w:val="2AC3C80E"/>
    <w:rsid w:val="36192806"/>
    <w:rsid w:val="3EF44D35"/>
    <w:rsid w:val="50D5DC4B"/>
    <w:rsid w:val="516C1E25"/>
    <w:rsid w:val="7315C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4C2266"/>
  <w15:docId w15:val="{50EDEB34-D64D-4789-B80A-8AFF5C59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spacing w:before="400" w:after="200"/>
      <w:outlineLvl w:val="0"/>
    </w:pPr>
    <w:rPr>
      <w:b/>
      <w:bCs/>
      <w:color w:val="1A1A1A"/>
      <w:sz w:val="36"/>
      <w:szCs w:val="36"/>
    </w:rPr>
  </w:style>
  <w:style w:type="paragraph" w:customStyle="1" w:styleId="heading20">
    <w:name w:val="heading 20"/>
    <w:qFormat/>
    <w:pPr>
      <w:spacing w:before="320" w:after="160"/>
      <w:outlineLvl w:val="1"/>
    </w:pPr>
    <w:rPr>
      <w:b/>
      <w:bCs/>
      <w:color w:val="1A1A1A"/>
      <w:sz w:val="28"/>
      <w:szCs w:val="28"/>
    </w:rPr>
  </w:style>
  <w:style w:type="paragraph" w:customStyle="1" w:styleId="heading30">
    <w:name w:val="heading 30"/>
    <w:qFormat/>
    <w:pPr>
      <w:spacing w:before="240" w:after="120"/>
      <w:outlineLvl w:val="2"/>
    </w:pPr>
    <w:rPr>
      <w:b/>
      <w:bCs/>
      <w:color w:val="1A1A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b9caae-0d54-4461-9b9a-dc1cbc070894">
      <Terms xmlns="http://schemas.microsoft.com/office/infopath/2007/PartnerControls"/>
    </lcf76f155ced4ddcb4097134ff3c332f>
    <TaxCatchAll xmlns="4d96a50a-3f7e-4476-bf83-d1091d3088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EB81BE531B234D8D8FF52DCC0B31B0" ma:contentTypeVersion="15" ma:contentTypeDescription="Create a new document." ma:contentTypeScope="" ma:versionID="2da7c7e41e0d6e3818d0fbb5b319f98d">
  <xsd:schema xmlns:xsd="http://www.w3.org/2001/XMLSchema" xmlns:xs="http://www.w3.org/2001/XMLSchema" xmlns:p="http://schemas.microsoft.com/office/2006/metadata/properties" xmlns:ns2="ceb9caae-0d54-4461-9b9a-dc1cbc070894" xmlns:ns3="4d96a50a-3f7e-4476-bf83-d1091d308818" targetNamespace="http://schemas.microsoft.com/office/2006/metadata/properties" ma:root="true" ma:fieldsID="9ec98de0767c505dfa527d2a8b9c776a" ns2:_="" ns3:_="">
    <xsd:import namespace="ceb9caae-0d54-4461-9b9a-dc1cbc070894"/>
    <xsd:import namespace="4d96a50a-3f7e-4476-bf83-d1091d308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caae-0d54-4461-9b9a-dc1cbc070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6e63b-c26a-410b-bdb1-f6730d3fbc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6a50a-3f7e-4476-bf83-d1091d3088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3e2ffb-aa7c-4a4d-8e9d-ea4ca5af2e28}" ma:internalName="TaxCatchAll" ma:showField="CatchAllData" ma:web="4d96a50a-3f7e-4476-bf83-d1091d308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E391D-31DC-48FB-A3F6-85EFB63C8A89}">
  <ds:schemaRefs>
    <ds:schemaRef ds:uri="http://schemas.microsoft.com/sharepoint/v3/contenttype/forms"/>
  </ds:schemaRefs>
</ds:datastoreItem>
</file>

<file path=customXml/itemProps2.xml><?xml version="1.0" encoding="utf-8"?>
<ds:datastoreItem xmlns:ds="http://schemas.openxmlformats.org/officeDocument/2006/customXml" ds:itemID="{0D834CDA-7683-43BD-BF6D-97FC7A0C24FB}">
  <ds:schemaRefs>
    <ds:schemaRef ds:uri="http://schemas.microsoft.com/office/2006/metadata/properties"/>
    <ds:schemaRef ds:uri="http://schemas.microsoft.com/office/infopath/2007/PartnerControls"/>
    <ds:schemaRef ds:uri="ceb9caae-0d54-4461-9b9a-dc1cbc070894"/>
    <ds:schemaRef ds:uri="4d96a50a-3f7e-4476-bf83-d1091d308818"/>
  </ds:schemaRefs>
</ds:datastoreItem>
</file>

<file path=customXml/itemProps3.xml><?xml version="1.0" encoding="utf-8"?>
<ds:datastoreItem xmlns:ds="http://schemas.openxmlformats.org/officeDocument/2006/customXml" ds:itemID="{85878E39-FC50-440A-9FAA-1F86C168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caae-0d54-4461-9b9a-dc1cbc070894"/>
    <ds:schemaRef ds:uri="4d96a50a-3f7e-4476-bf83-d1091d308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Helena Brodie</cp:lastModifiedBy>
  <cp:revision>3</cp:revision>
  <dcterms:created xsi:type="dcterms:W3CDTF">2026-04-08T21:02:00Z</dcterms:created>
  <dcterms:modified xsi:type="dcterms:W3CDTF">2026-04-09T11:00:00Z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0x010100F8EB81BE531B234D8D8FF52DCC0B31B0</vt:lpwstr>
  </property>
  <property fmtid="{D5CDD505-2E9C-101B-9397-08002B2CF9AE}" pid="3" name="MediaServiceImageTags">
    <vt:lpwstr/>
  </property>
  <property fmtid="{D5CDD505-2E9C-101B-9397-08002B2CF9AE}" pid="4" name="GrammarlyDocumentId">
    <vt:lpwstr>7dce7627-22fb-4513-b64e-da71e4c76a6a</vt:lpwstr>
  </property>
</Properties>
</file>